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E8" w:rsidRDefault="002A61E8" w:rsidP="002A61E8">
      <w:pPr>
        <w:suppressAutoHyphens/>
        <w:snapToGrid w:val="0"/>
        <w:spacing w:after="12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  <w:proofErr w:type="gramStart"/>
      <w:r w:rsidRPr="002724E8">
        <w:rPr>
          <w:rFonts w:ascii="Times New Roman" w:hAnsi="Times New Roman"/>
          <w:b/>
          <w:sz w:val="28"/>
          <w:szCs w:val="28"/>
          <w:u w:val="single"/>
        </w:rPr>
        <w:t>TE</w:t>
      </w:r>
      <w:r w:rsidRPr="002724E8">
        <w:rPr>
          <w:rFonts w:ascii="Times New Roman" w:hAnsi="Times New Roman"/>
          <w:b/>
          <w:sz w:val="28"/>
          <w:szCs w:val="28"/>
          <w:u w:val="single"/>
          <w:lang w:val="ru-RU"/>
        </w:rPr>
        <w:t>ХНИЧЕСК</w:t>
      </w:r>
      <w:r w:rsidRPr="002724E8">
        <w:rPr>
          <w:rFonts w:ascii="Times New Roman" w:hAnsi="Times New Roman"/>
          <w:b/>
          <w:sz w:val="28"/>
          <w:szCs w:val="28"/>
          <w:u w:val="single"/>
          <w:lang w:val="bg-BG"/>
        </w:rPr>
        <w:t>А</w:t>
      </w:r>
      <w:r w:rsidRPr="002724E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 w:rsidRPr="002724E8">
        <w:rPr>
          <w:rFonts w:ascii="Times New Roman" w:hAnsi="Times New Roman"/>
          <w:b/>
          <w:sz w:val="28"/>
          <w:szCs w:val="28"/>
          <w:u w:val="single"/>
          <w:lang w:val="bg-BG"/>
        </w:rPr>
        <w:t>СПЕЦИФИКАЦИЯ</w:t>
      </w:r>
      <w:proofErr w:type="gramEnd"/>
      <w:r w:rsidRPr="002724E8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</w:t>
      </w:r>
    </w:p>
    <w:p w:rsidR="00334189" w:rsidRDefault="00334189" w:rsidP="00334189">
      <w:pPr>
        <w:suppressAutoHyphens/>
        <w:snapToGrid w:val="0"/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A61E8" w:rsidRPr="004A0A2C" w:rsidRDefault="002A61E8" w:rsidP="002A61E8">
      <w:pPr>
        <w:pStyle w:val="BodyText21"/>
        <w:widowControl/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 w:cs="Times New Roman"/>
          <w:i/>
          <w:lang w:val="bg-BG"/>
        </w:rPr>
      </w:pPr>
      <w:r w:rsidRPr="004A0A2C">
        <w:rPr>
          <w:rFonts w:ascii="Times New Roman" w:hAnsi="Times New Roman" w:cs="Times New Roman"/>
          <w:i/>
          <w:lang w:val="bg-BG"/>
        </w:rPr>
        <w:t>ОТКРИТА ПРОЦЕДУРА ПО ЗОП ЗА СКЛЮЧВАНЕ НА РАМКОВ</w:t>
      </w:r>
      <w:r w:rsidR="00015B13" w:rsidRPr="004A0A2C">
        <w:rPr>
          <w:rFonts w:ascii="Times New Roman" w:hAnsi="Times New Roman" w:cs="Times New Roman"/>
          <w:i/>
          <w:lang w:val="bg-BG"/>
        </w:rPr>
        <w:t>О</w:t>
      </w:r>
      <w:r w:rsidRPr="004A0A2C">
        <w:rPr>
          <w:rFonts w:ascii="Times New Roman" w:hAnsi="Times New Roman" w:cs="Times New Roman"/>
          <w:i/>
          <w:lang w:val="ru-RU"/>
        </w:rPr>
        <w:t xml:space="preserve"> </w:t>
      </w:r>
      <w:r w:rsidRPr="004A0A2C">
        <w:rPr>
          <w:rFonts w:ascii="Times New Roman" w:hAnsi="Times New Roman" w:cs="Times New Roman"/>
          <w:i/>
          <w:lang w:val="bg-BG"/>
        </w:rPr>
        <w:t xml:space="preserve"> СПОРАЗУМЕНИ</w:t>
      </w:r>
      <w:r w:rsidR="00015B13" w:rsidRPr="004A0A2C">
        <w:rPr>
          <w:rFonts w:ascii="Times New Roman" w:hAnsi="Times New Roman" w:cs="Times New Roman"/>
          <w:i/>
          <w:lang w:val="bg-BG"/>
        </w:rPr>
        <w:t>Е</w:t>
      </w:r>
      <w:r w:rsidRPr="004A0A2C">
        <w:rPr>
          <w:rFonts w:ascii="Times New Roman" w:hAnsi="Times New Roman" w:cs="Times New Roman"/>
          <w:i/>
          <w:lang w:val="bg-BG"/>
        </w:rPr>
        <w:t xml:space="preserve"> С ПРЕДМЕТ:</w:t>
      </w:r>
    </w:p>
    <w:p w:rsidR="00015B13" w:rsidRPr="004A0A2C" w:rsidRDefault="00015B13" w:rsidP="00015B13">
      <w:pPr>
        <w:pStyle w:val="BodyText21"/>
        <w:jc w:val="left"/>
        <w:rPr>
          <w:rFonts w:ascii="Times New Roman" w:hAnsi="Times New Roman" w:cs="Times New Roman"/>
          <w:lang w:val="bg-BG"/>
        </w:rPr>
      </w:pPr>
    </w:p>
    <w:p w:rsidR="004A0A2C" w:rsidRPr="004A0A2C" w:rsidRDefault="004A0A2C" w:rsidP="004A0A2C">
      <w:pPr>
        <w:spacing w:after="120" w:line="360" w:lineRule="auto"/>
        <w:ind w:left="-284" w:right="-143" w:firstLine="644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4A0A2C">
        <w:rPr>
          <w:rFonts w:ascii="Times New Roman" w:hAnsi="Times New Roman"/>
          <w:b/>
          <w:bCs/>
          <w:i/>
          <w:iCs/>
        </w:rPr>
        <w:t xml:space="preserve">„ИЗГОТВЯНЕ НА РАБОТНИ ПРОЕКТИ ЗА ОБНОВЯВАНЕ ЧРЕЗ ИЗПЪЛНЕНИЕ НА МЕРКИ ЗА ЕНЕРГИЙНА ЕФЕКТИВНОСТ НА МНОГОФАМИЛНИ ЖИЛИЩНИ СГРАДИ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във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връзка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с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изпълнението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на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Националната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програма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за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енергийна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ефективност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в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многофамилни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жилищни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сгради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в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Република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България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,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приета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с ПМС № 18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от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2 </w:t>
      </w:r>
      <w:proofErr w:type="spellStart"/>
      <w:r w:rsidRPr="004A0A2C">
        <w:rPr>
          <w:rFonts w:ascii="Times New Roman" w:hAnsi="Times New Roman"/>
          <w:b/>
          <w:bCs/>
          <w:i/>
          <w:iCs/>
          <w:color w:val="000000"/>
        </w:rPr>
        <w:t>февруари</w:t>
      </w:r>
      <w:proofErr w:type="spellEnd"/>
      <w:r w:rsidRPr="004A0A2C">
        <w:rPr>
          <w:rFonts w:ascii="Times New Roman" w:hAnsi="Times New Roman"/>
          <w:b/>
          <w:bCs/>
          <w:i/>
          <w:iCs/>
          <w:color w:val="000000"/>
        </w:rPr>
        <w:t xml:space="preserve"> 2015 г.” </w:t>
      </w:r>
    </w:p>
    <w:p w:rsidR="002A61E8" w:rsidRPr="004A0A2C" w:rsidRDefault="002A61E8" w:rsidP="002A61E8">
      <w:pPr>
        <w:suppressAutoHyphens/>
        <w:snapToGrid w:val="0"/>
        <w:spacing w:after="120" w:line="240" w:lineRule="auto"/>
        <w:jc w:val="both"/>
        <w:rPr>
          <w:rStyle w:val="30"/>
          <w:rFonts w:ascii="Times New Roman" w:hAnsi="Times New Roman" w:cs="Times New Roman"/>
          <w:sz w:val="24"/>
          <w:szCs w:val="24"/>
          <w:lang w:val="ru-RU"/>
        </w:rPr>
      </w:pPr>
    </w:p>
    <w:p w:rsidR="00FA78EB" w:rsidRPr="004A0A2C" w:rsidRDefault="0053503E" w:rsidP="00FA78EB">
      <w:pPr>
        <w:numPr>
          <w:ilvl w:val="0"/>
          <w:numId w:val="1"/>
        </w:numPr>
        <w:suppressAutoHyphens/>
        <w:snapToGrid w:val="0"/>
        <w:spacing w:after="120" w:line="240" w:lineRule="auto"/>
        <w:jc w:val="both"/>
        <w:rPr>
          <w:rStyle w:val="30"/>
          <w:rFonts w:ascii="Times New Roman" w:hAnsi="Times New Roman" w:cs="Times New Roman"/>
          <w:sz w:val="24"/>
          <w:szCs w:val="24"/>
          <w:lang w:val="bg-BG"/>
        </w:rPr>
      </w:pPr>
      <w:r w:rsidRPr="004A0A2C">
        <w:rPr>
          <w:rStyle w:val="30"/>
          <w:rFonts w:ascii="Times New Roman" w:hAnsi="Times New Roman" w:cs="Times New Roman"/>
          <w:sz w:val="24"/>
          <w:szCs w:val="24"/>
          <w:lang w:val="bg-BG"/>
        </w:rPr>
        <w:t>Изготвяне</w:t>
      </w:r>
      <w:r w:rsidR="00F53807" w:rsidRPr="004A0A2C">
        <w:rPr>
          <w:rStyle w:val="30"/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A78EB" w:rsidRPr="004A0A2C">
        <w:rPr>
          <w:rStyle w:val="30"/>
          <w:rFonts w:ascii="Times New Roman" w:hAnsi="Times New Roman" w:cs="Times New Roman"/>
          <w:sz w:val="24"/>
          <w:szCs w:val="24"/>
          <w:lang w:val="bg-BG"/>
        </w:rPr>
        <w:t>работен проект за нуждите на обновяването</w:t>
      </w:r>
    </w:p>
    <w:p w:rsidR="00FA78EB" w:rsidRPr="004A0A2C" w:rsidRDefault="00FA78EB" w:rsidP="00C975CD">
      <w:pPr>
        <w:snapToGrid w:val="0"/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A0A2C">
        <w:rPr>
          <w:rFonts w:ascii="Times New Roman" w:hAnsi="Times New Roman"/>
          <w:sz w:val="24"/>
          <w:szCs w:val="24"/>
          <w:lang w:val="bg-BG"/>
        </w:rPr>
        <w:t>Изготв</w:t>
      </w:r>
      <w:r w:rsidR="00F53807" w:rsidRPr="004A0A2C">
        <w:rPr>
          <w:rFonts w:ascii="Times New Roman" w:hAnsi="Times New Roman"/>
          <w:sz w:val="24"/>
          <w:szCs w:val="24"/>
          <w:lang w:val="bg-BG"/>
        </w:rPr>
        <w:t xml:space="preserve">янето на </w:t>
      </w:r>
      <w:r w:rsidRPr="004A0A2C">
        <w:rPr>
          <w:rFonts w:ascii="Times New Roman" w:hAnsi="Times New Roman"/>
          <w:sz w:val="24"/>
          <w:szCs w:val="24"/>
          <w:lang w:val="bg-BG"/>
        </w:rPr>
        <w:t>работен проект за нуждите на обновяването се възлага на външен изпълнител с екип от правоспособни проектанти, който</w:t>
      </w:r>
      <w:r w:rsidR="00223593" w:rsidRPr="004A0A2C">
        <w:rPr>
          <w:rFonts w:ascii="Times New Roman" w:hAnsi="Times New Roman"/>
          <w:sz w:val="24"/>
          <w:szCs w:val="24"/>
          <w:lang w:val="bg-BG"/>
        </w:rPr>
        <w:t xml:space="preserve"> ще се избере</w:t>
      </w:r>
      <w:r w:rsidR="00CC5B88" w:rsidRPr="004A0A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0A2C">
        <w:rPr>
          <w:rFonts w:ascii="Times New Roman" w:hAnsi="Times New Roman"/>
          <w:sz w:val="24"/>
          <w:szCs w:val="24"/>
          <w:lang w:val="bg-BG"/>
        </w:rPr>
        <w:t>по реда на</w:t>
      </w:r>
      <w:r w:rsidR="00CC5B88" w:rsidRPr="004A0A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0A2C">
        <w:rPr>
          <w:rFonts w:ascii="Times New Roman" w:hAnsi="Times New Roman"/>
          <w:sz w:val="24"/>
          <w:szCs w:val="24"/>
          <w:lang w:val="bg-BG"/>
        </w:rPr>
        <w:t xml:space="preserve">ЗОП. </w:t>
      </w:r>
    </w:p>
    <w:p w:rsidR="00FA78EB" w:rsidRPr="004A0A2C" w:rsidRDefault="00F53807" w:rsidP="00C975CD">
      <w:pPr>
        <w:autoSpaceDE w:val="0"/>
        <w:autoSpaceDN w:val="0"/>
        <w:adjustRightInd w:val="0"/>
        <w:snapToGrid w:val="0"/>
        <w:spacing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hAnsi="Times New Roman"/>
          <w:sz w:val="24"/>
          <w:szCs w:val="24"/>
          <w:lang w:val="bg-BG"/>
        </w:rPr>
        <w:t>Р</w:t>
      </w:r>
      <w:r w:rsidR="00FA78EB" w:rsidRPr="004A0A2C">
        <w:rPr>
          <w:rFonts w:ascii="Times New Roman" w:hAnsi="Times New Roman"/>
          <w:sz w:val="24"/>
          <w:szCs w:val="24"/>
          <w:lang w:val="bg-BG"/>
        </w:rPr>
        <w:t>аботни</w:t>
      </w:r>
      <w:r w:rsidRPr="004A0A2C">
        <w:rPr>
          <w:rFonts w:ascii="Times New Roman" w:hAnsi="Times New Roman"/>
          <w:sz w:val="24"/>
          <w:szCs w:val="24"/>
          <w:lang w:val="bg-BG"/>
        </w:rPr>
        <w:t>те</w:t>
      </w:r>
      <w:r w:rsidR="00FA78EB" w:rsidRPr="004A0A2C">
        <w:rPr>
          <w:rFonts w:ascii="Times New Roman" w:hAnsi="Times New Roman"/>
          <w:sz w:val="24"/>
          <w:szCs w:val="24"/>
          <w:lang w:val="bg-BG"/>
        </w:rPr>
        <w:t xml:space="preserve"> проекти за нуждите на обновяването следва да бъдат изготвени съгласно ЗУТ, </w:t>
      </w:r>
      <w:r w:rsidR="00FA78EB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Наредба № 4 от </w:t>
      </w:r>
      <w:smartTag w:uri="urn:schemas-microsoft-com:office:smarttags" w:element="metricconverter">
        <w:smartTagPr>
          <w:attr w:name="ProductID" w:val="2001 г"/>
        </w:smartTagPr>
        <w:r w:rsidR="00FA78EB" w:rsidRPr="004A0A2C">
          <w:rPr>
            <w:rFonts w:ascii="Times New Roman" w:eastAsia="Times New Roman" w:hAnsi="Times New Roman"/>
            <w:sz w:val="24"/>
            <w:szCs w:val="24"/>
            <w:lang w:val="bg-BG" w:eastAsia="bg-BG"/>
          </w:rPr>
          <w:t>2001 г</w:t>
        </w:r>
      </w:smartTag>
      <w:r w:rsidR="00FA78EB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дейности. </w:t>
      </w:r>
      <w:r w:rsidR="00FA78EB" w:rsidRPr="004A0A2C">
        <w:rPr>
          <w:rFonts w:ascii="Times New Roman" w:hAnsi="Times New Roman"/>
          <w:sz w:val="24"/>
          <w:szCs w:val="24"/>
          <w:lang w:val="bg-BG"/>
        </w:rPr>
        <w:t>Проектите следва да бъдат придружени с подробни количество-стойности сметки по приложимите части.</w:t>
      </w:r>
    </w:p>
    <w:p w:rsidR="00FA78EB" w:rsidRPr="004A0A2C" w:rsidRDefault="00F53807" w:rsidP="00C975CD">
      <w:pPr>
        <w:autoSpaceDE w:val="0"/>
        <w:autoSpaceDN w:val="0"/>
        <w:adjustRightInd w:val="0"/>
        <w:snapToGrid w:val="0"/>
        <w:spacing w:after="12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Р</w:t>
      </w:r>
      <w:r w:rsidR="00FA78EB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аботният проект следва да бъде надлежно съгласуван с всички експлоатационни дружества и други съгласувателни органи и одобрен от главния архитект на Общината.</w:t>
      </w:r>
    </w:p>
    <w:p w:rsidR="00FA78EB" w:rsidRPr="004A0A2C" w:rsidRDefault="00FA78EB" w:rsidP="00C975CD">
      <w:pPr>
        <w:snapToGrid w:val="0"/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обяснителните записки проектантите следва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и стойностни сметки Работните проекти се изработват в обхват и съдържание съгласно изискванията на Наредба № 4 от </w:t>
      </w:r>
      <w:smartTag w:uri="urn:schemas-microsoft-com:office:smarttags" w:element="metricconverter">
        <w:smartTagPr>
          <w:attr w:name="ProductID" w:val="2001 г"/>
        </w:smartTagPr>
        <w:r w:rsidRPr="004A0A2C">
          <w:rPr>
            <w:rFonts w:ascii="Times New Roman" w:eastAsia="Times New Roman" w:hAnsi="Times New Roman"/>
            <w:sz w:val="24"/>
            <w:szCs w:val="24"/>
            <w:lang w:val="bg-BG" w:eastAsia="bg-BG"/>
          </w:rPr>
          <w:t>2001 г</w:t>
        </w:r>
      </w:smartTag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. за обхвата и съдържанието на инвестиционните проекти.</w:t>
      </w:r>
    </w:p>
    <w:p w:rsidR="00FA78EB" w:rsidRPr="004A0A2C" w:rsidRDefault="00FA78EB" w:rsidP="00C975CD">
      <w:pPr>
        <w:snapToGrid w:val="0"/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A0A2C">
        <w:rPr>
          <w:rFonts w:ascii="Times New Roman" w:hAnsi="Times New Roman"/>
          <w:sz w:val="24"/>
          <w:szCs w:val="24"/>
          <w:lang w:val="bg-BG"/>
        </w:rPr>
        <w:t xml:space="preserve">При изготвяне на проектна документация, екипът на външния изпълнител за </w:t>
      </w:r>
      <w:r w:rsidRPr="004A0A2C">
        <w:rPr>
          <w:rFonts w:ascii="Times New Roman" w:hAnsi="Times New Roman"/>
          <w:color w:val="000000"/>
          <w:sz w:val="24"/>
          <w:szCs w:val="24"/>
          <w:lang w:val="bg-BG"/>
        </w:rPr>
        <w:t>разработване</w:t>
      </w:r>
      <w:r w:rsidRPr="004A0A2C">
        <w:rPr>
          <w:rFonts w:ascii="Times New Roman" w:hAnsi="Times New Roman"/>
          <w:sz w:val="24"/>
          <w:szCs w:val="24"/>
          <w:lang w:val="bg-BG"/>
        </w:rPr>
        <w:t xml:space="preserve"> на инвестиционен проект ще ползва предписанията за обновяване, дадени в изготвените за сградата техническо и енергийно</w:t>
      </w:r>
      <w:r w:rsidR="00F53807" w:rsidRPr="004A0A2C">
        <w:rPr>
          <w:rFonts w:ascii="Times New Roman" w:hAnsi="Times New Roman"/>
          <w:sz w:val="24"/>
          <w:szCs w:val="24"/>
          <w:lang w:val="bg-BG"/>
        </w:rPr>
        <w:t xml:space="preserve"> обследване с ЕСМ.Р</w:t>
      </w:r>
      <w:r w:rsidRPr="004A0A2C">
        <w:rPr>
          <w:rFonts w:ascii="Times New Roman" w:hAnsi="Times New Roman"/>
          <w:sz w:val="24"/>
          <w:szCs w:val="24"/>
          <w:lang w:val="bg-BG"/>
        </w:rPr>
        <w:t>аботният проект за нуждите на енергийното обновяване следва да съдържа само части и мерки, които са допустими за получаване на ФП по програмата.</w:t>
      </w:r>
    </w:p>
    <w:p w:rsidR="00CC5B88" w:rsidRPr="004A0A2C" w:rsidRDefault="00FA78EB" w:rsidP="00C975CD">
      <w:pPr>
        <w:snapToGrid w:val="0"/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A0A2C">
        <w:rPr>
          <w:rFonts w:ascii="Times New Roman" w:hAnsi="Times New Roman"/>
          <w:sz w:val="24"/>
          <w:szCs w:val="24"/>
          <w:lang w:val="bg-BG"/>
        </w:rPr>
        <w:t xml:space="preserve">Доклад за съответствие на техническата документация със съществените изисквания се изготвя от външния изпълнител, който ще осъществява строителен надзор и ще бъде избран предварително по реда на ЗОП. </w:t>
      </w:r>
    </w:p>
    <w:p w:rsidR="00223593" w:rsidRPr="004A0A2C" w:rsidRDefault="00223593" w:rsidP="00C975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gramStart"/>
      <w:r w:rsidRPr="004A0A2C">
        <w:rPr>
          <w:rFonts w:ascii="Times New Roman" w:hAnsi="Times New Roman"/>
          <w:sz w:val="24"/>
          <w:szCs w:val="24"/>
          <w:lang w:val="ru-RU"/>
        </w:rPr>
        <w:t>Избраният изпълни</w:t>
      </w:r>
      <w:r w:rsidR="00A45D5F" w:rsidRPr="004A0A2C">
        <w:rPr>
          <w:rFonts w:ascii="Times New Roman" w:hAnsi="Times New Roman"/>
          <w:sz w:val="24"/>
          <w:szCs w:val="24"/>
          <w:lang w:val="ru-RU"/>
        </w:rPr>
        <w:t xml:space="preserve">тел </w:t>
      </w:r>
      <w:r w:rsidRPr="004A0A2C">
        <w:rPr>
          <w:rFonts w:ascii="Times New Roman" w:hAnsi="Times New Roman"/>
          <w:sz w:val="24"/>
          <w:szCs w:val="24"/>
          <w:lang w:val="ru-RU"/>
        </w:rPr>
        <w:t xml:space="preserve">трябва да представи проектите по начина, уреден в Наредба № 4 от 21 Май </w:t>
      </w:r>
      <w:smartTag w:uri="urn:schemas-microsoft-com:office:smarttags" w:element="metricconverter">
        <w:smartTagPr>
          <w:attr w:name="ProductID" w:val="2001 г"/>
        </w:smartTagPr>
        <w:r w:rsidRPr="004A0A2C">
          <w:rPr>
            <w:rFonts w:ascii="Times New Roman" w:hAnsi="Times New Roman"/>
            <w:sz w:val="24"/>
            <w:szCs w:val="24"/>
            <w:lang w:val="ru-RU"/>
          </w:rPr>
          <w:t>2001 г</w:t>
        </w:r>
      </w:smartTag>
      <w:r w:rsidRPr="004A0A2C">
        <w:rPr>
          <w:rFonts w:ascii="Times New Roman" w:hAnsi="Times New Roman"/>
          <w:sz w:val="24"/>
          <w:szCs w:val="24"/>
          <w:lang w:val="ru-RU"/>
        </w:rPr>
        <w:t>. за обхвата и съдържанието на инвестиционните проекти на хартия</w:t>
      </w:r>
      <w:r w:rsidR="00B67455" w:rsidRPr="004A0A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7455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 пет екземпляра</w:t>
      </w:r>
      <w:r w:rsidRPr="004A0A2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67455" w:rsidRPr="004A0A2C">
        <w:rPr>
          <w:rFonts w:ascii="Times New Roman" w:hAnsi="Times New Roman"/>
          <w:sz w:val="24"/>
          <w:szCs w:val="24"/>
          <w:lang w:val="bg-BG"/>
        </w:rPr>
        <w:t xml:space="preserve">на магнитен носител </w:t>
      </w:r>
      <w:r w:rsidRPr="004A0A2C">
        <w:rPr>
          <w:rFonts w:ascii="Times New Roman" w:hAnsi="Times New Roman"/>
          <w:sz w:val="24"/>
          <w:szCs w:val="24"/>
          <w:lang w:val="ru-RU"/>
        </w:rPr>
        <w:t xml:space="preserve">в едно електронно копие, като файловете на графичната част трябва да бъдат в </w:t>
      </w:r>
      <w:proofErr w:type="spellStart"/>
      <w:r w:rsidRPr="004A0A2C">
        <w:rPr>
          <w:rFonts w:ascii="Times New Roman" w:hAnsi="Times New Roman"/>
          <w:sz w:val="24"/>
          <w:szCs w:val="24"/>
          <w:lang w:bidi="en-US"/>
        </w:rPr>
        <w:t>dwg</w:t>
      </w:r>
      <w:proofErr w:type="spellEnd"/>
      <w:r w:rsidRPr="004A0A2C">
        <w:rPr>
          <w:rFonts w:ascii="Times New Roman" w:hAnsi="Times New Roman"/>
          <w:sz w:val="24"/>
          <w:szCs w:val="24"/>
          <w:lang w:val="ru-RU" w:bidi="en-US"/>
        </w:rPr>
        <w:t xml:space="preserve"> </w:t>
      </w:r>
      <w:r w:rsidRPr="004A0A2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4A0A2C">
        <w:rPr>
          <w:rFonts w:ascii="Times New Roman" w:hAnsi="Times New Roman"/>
          <w:sz w:val="24"/>
          <w:szCs w:val="24"/>
          <w:lang w:bidi="en-US"/>
        </w:rPr>
        <w:t>pdf</w:t>
      </w:r>
      <w:r w:rsidRPr="004A0A2C">
        <w:rPr>
          <w:rFonts w:ascii="Times New Roman" w:hAnsi="Times New Roman"/>
          <w:sz w:val="24"/>
          <w:szCs w:val="24"/>
          <w:lang w:val="ru-RU"/>
        </w:rPr>
        <w:t>-формат</w:t>
      </w:r>
      <w:r w:rsidR="00C975CD" w:rsidRPr="004A0A2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975CD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при софтуерна съвместимост съответно с Microsoft Office 2007 и AutoDesk 10</w:t>
      </w:r>
      <w:proofErr w:type="gramEnd"/>
      <w:r w:rsidR="00C975CD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еквивалентни.</w:t>
      </w:r>
      <w:r w:rsidRPr="004A0A2C">
        <w:rPr>
          <w:rFonts w:ascii="Times New Roman" w:hAnsi="Times New Roman"/>
          <w:sz w:val="24"/>
          <w:szCs w:val="24"/>
          <w:lang w:val="ru-RU"/>
        </w:rPr>
        <w:t>.</w:t>
      </w:r>
    </w:p>
    <w:p w:rsidR="00C975CD" w:rsidRPr="004A0A2C" w:rsidRDefault="00C975CD" w:rsidP="00C975CD">
      <w:pPr>
        <w:pStyle w:val="20"/>
        <w:shd w:val="clear" w:color="auto" w:fill="auto"/>
        <w:spacing w:after="240" w:line="269" w:lineRule="exact"/>
        <w:ind w:firstLine="0"/>
        <w:rPr>
          <w:sz w:val="24"/>
          <w:szCs w:val="24"/>
          <w:lang w:val="bg-BG"/>
        </w:rPr>
      </w:pPr>
    </w:p>
    <w:p w:rsidR="00223593" w:rsidRPr="004A0A2C" w:rsidRDefault="00223593" w:rsidP="00C975CD">
      <w:pPr>
        <w:pStyle w:val="20"/>
        <w:shd w:val="clear" w:color="auto" w:fill="auto"/>
        <w:spacing w:after="240" w:line="269" w:lineRule="exact"/>
        <w:ind w:firstLine="680"/>
        <w:rPr>
          <w:sz w:val="24"/>
          <w:szCs w:val="24"/>
        </w:rPr>
      </w:pPr>
      <w:r w:rsidRPr="004A0A2C">
        <w:rPr>
          <w:sz w:val="24"/>
          <w:szCs w:val="24"/>
        </w:rPr>
        <w:t>Дейностите по изпълнението на услугата включват следните видове работи: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Изработване на архитектурни проекти и чертежи, отразяващи мерките по </w:t>
      </w:r>
      <w:r w:rsidR="00D868E6" w:rsidRPr="004A0A2C">
        <w:rPr>
          <w:sz w:val="24"/>
          <w:szCs w:val="24"/>
          <w:lang w:val="bg-BG"/>
        </w:rPr>
        <w:t>обновяване</w:t>
      </w:r>
      <w:r w:rsidRPr="004A0A2C">
        <w:rPr>
          <w:sz w:val="24"/>
          <w:szCs w:val="24"/>
        </w:rPr>
        <w:t>то - в мащаб 1:50, и детайли в мащаб 1:20, 1:5 или 1:1</w:t>
      </w:r>
      <w:r w:rsidR="00D868E6" w:rsidRPr="004A0A2C">
        <w:rPr>
          <w:sz w:val="24"/>
          <w:szCs w:val="24"/>
          <w:lang w:val="bg-BG"/>
        </w:rPr>
        <w:t>, съобразени със спецификата на отделните сгради</w:t>
      </w:r>
      <w:r w:rsidRPr="004A0A2C">
        <w:rPr>
          <w:sz w:val="24"/>
          <w:szCs w:val="24"/>
        </w:rPr>
        <w:t>.</w:t>
      </w:r>
      <w:r w:rsidR="00D868E6" w:rsidRPr="004A0A2C">
        <w:rPr>
          <w:sz w:val="24"/>
          <w:szCs w:val="24"/>
          <w:lang w:val="ru-RU"/>
        </w:rPr>
        <w:t xml:space="preserve"> -4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Изработване на проекти и чертежи по част „ОиВ“ - нова инсталация за </w:t>
      </w:r>
      <w:r w:rsidRPr="004A0A2C">
        <w:rPr>
          <w:sz w:val="24"/>
          <w:szCs w:val="24"/>
        </w:rPr>
        <w:lastRenderedPageBreak/>
        <w:t>отопление - вертикална комуникация в стълбищната клетка</w:t>
      </w:r>
      <w:r w:rsidR="002438FC">
        <w:rPr>
          <w:sz w:val="24"/>
          <w:szCs w:val="24"/>
          <w:lang w:val="bg-BG"/>
        </w:rPr>
        <w:t xml:space="preserve"> </w:t>
      </w:r>
      <w:r w:rsidR="002438FC" w:rsidRPr="004A0A2C">
        <w:rPr>
          <w:sz w:val="24"/>
          <w:szCs w:val="24"/>
        </w:rPr>
        <w:t>(ако е необходимо)</w:t>
      </w:r>
      <w:r w:rsidRPr="004A0A2C">
        <w:rPr>
          <w:sz w:val="24"/>
          <w:szCs w:val="24"/>
        </w:rPr>
        <w:t>,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rPr>
          <w:sz w:val="24"/>
          <w:szCs w:val="24"/>
        </w:rPr>
      </w:pPr>
      <w:r w:rsidRPr="004A0A2C">
        <w:rPr>
          <w:sz w:val="24"/>
          <w:szCs w:val="24"/>
        </w:rPr>
        <w:t>Изработване проекти по част „Енергийна ефективност“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rPr>
          <w:sz w:val="24"/>
          <w:szCs w:val="24"/>
        </w:rPr>
      </w:pPr>
      <w:r w:rsidRPr="004A0A2C">
        <w:rPr>
          <w:sz w:val="24"/>
          <w:szCs w:val="24"/>
        </w:rPr>
        <w:t>Изработване на проекти по част „Вътрешни електрически инсталации“;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rPr>
          <w:sz w:val="24"/>
          <w:szCs w:val="24"/>
        </w:rPr>
      </w:pPr>
      <w:r w:rsidRPr="004A0A2C">
        <w:rPr>
          <w:sz w:val="24"/>
          <w:szCs w:val="24"/>
        </w:rPr>
        <w:t>Част ВиК (ако е необходимо)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>Изработване на подробни количествени сметки</w:t>
      </w:r>
      <w:r w:rsidR="00A45D5F" w:rsidRPr="004A0A2C">
        <w:rPr>
          <w:sz w:val="24"/>
          <w:szCs w:val="24"/>
        </w:rPr>
        <w:t xml:space="preserve"> </w:t>
      </w:r>
      <w:r w:rsidR="00A45D5F" w:rsidRPr="004A0A2C">
        <w:rPr>
          <w:sz w:val="24"/>
          <w:szCs w:val="24"/>
          <w:lang w:val="bg-BG"/>
        </w:rPr>
        <w:t xml:space="preserve">и количествено-стойностни сметки (КСС) </w:t>
      </w:r>
      <w:r w:rsidRPr="004A0A2C">
        <w:rPr>
          <w:sz w:val="24"/>
          <w:szCs w:val="24"/>
        </w:rPr>
        <w:t xml:space="preserve"> за всички необходими СМР по всикчки части на проекта.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rPr>
          <w:sz w:val="24"/>
          <w:szCs w:val="24"/>
        </w:rPr>
      </w:pPr>
      <w:r w:rsidRPr="004A0A2C">
        <w:rPr>
          <w:sz w:val="24"/>
          <w:szCs w:val="24"/>
        </w:rPr>
        <w:t>Част „ПБЗ“ и управление на отпадъците,.</w:t>
      </w:r>
    </w:p>
    <w:p w:rsidR="00223593" w:rsidRPr="004A0A2C" w:rsidRDefault="00223593" w:rsidP="00223593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69" w:lineRule="exact"/>
        <w:ind w:left="1040" w:hanging="360"/>
        <w:rPr>
          <w:sz w:val="24"/>
          <w:szCs w:val="24"/>
        </w:rPr>
      </w:pPr>
      <w:r w:rsidRPr="004A0A2C">
        <w:rPr>
          <w:sz w:val="24"/>
          <w:szCs w:val="24"/>
        </w:rPr>
        <w:t>Част „Конструктивна“ - Възложителят ще предостави на Изпълнителя доклад-експертиза за конструктивното състояние - Изпълнителят трябва да предостави конструктивен проект, в случай че с експертизата са указани мерки за укрепване и привеждане на конструкцията на сградата към конструктивните норми, изисквани от методиката на МРРБ. Изработване на проект по част конструктивна, регламентиращ рехабилитация и саниране на многофамилната сграда</w:t>
      </w:r>
      <w:r w:rsidR="002438FC">
        <w:rPr>
          <w:sz w:val="24"/>
          <w:szCs w:val="24"/>
          <w:lang w:val="bg-BG"/>
        </w:rPr>
        <w:t xml:space="preserve"> </w:t>
      </w:r>
      <w:r w:rsidR="002438FC" w:rsidRPr="004A0A2C">
        <w:rPr>
          <w:sz w:val="24"/>
          <w:szCs w:val="24"/>
        </w:rPr>
        <w:t>(ако е необходимо)</w:t>
      </w:r>
      <w:r w:rsidRPr="004A0A2C">
        <w:rPr>
          <w:sz w:val="24"/>
          <w:szCs w:val="24"/>
        </w:rPr>
        <w:t>.</w:t>
      </w:r>
    </w:p>
    <w:p w:rsidR="00223593" w:rsidRPr="004A0A2C" w:rsidRDefault="00223593" w:rsidP="00223593">
      <w:pPr>
        <w:pStyle w:val="20"/>
        <w:shd w:val="clear" w:color="auto" w:fill="auto"/>
        <w:tabs>
          <w:tab w:val="left" w:pos="1026"/>
        </w:tabs>
        <w:spacing w:after="0" w:line="269" w:lineRule="exact"/>
        <w:ind w:left="1040" w:firstLine="0"/>
        <w:rPr>
          <w:sz w:val="24"/>
          <w:szCs w:val="24"/>
        </w:rPr>
      </w:pPr>
    </w:p>
    <w:p w:rsidR="00223593" w:rsidRPr="004A0A2C" w:rsidRDefault="00223593" w:rsidP="00223593">
      <w:pPr>
        <w:pStyle w:val="20"/>
        <w:shd w:val="clear" w:color="auto" w:fill="auto"/>
        <w:spacing w:after="0" w:line="264" w:lineRule="exact"/>
        <w:ind w:left="240" w:firstLine="88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>При изработването на проектите избраните изпълнители са длъжни да спазват стриктно всички разпоредби на действащото законодателство, като изработват проектите в обхват и съдържание, съгласно разпоредбите на: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120" w:firstLine="0"/>
        <w:rPr>
          <w:sz w:val="24"/>
          <w:szCs w:val="24"/>
        </w:rPr>
      </w:pPr>
      <w:r w:rsidRPr="004A0A2C">
        <w:rPr>
          <w:sz w:val="24"/>
          <w:szCs w:val="24"/>
        </w:rPr>
        <w:t>Закона за устройство на територията,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120" w:firstLine="0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№1 от </w:t>
      </w:r>
      <w:smartTag w:uri="urn:schemas-microsoft-com:office:smarttags" w:element="metricconverter">
        <w:smartTagPr>
          <w:attr w:name="ProductID" w:val="2003 г"/>
        </w:smartTagPr>
        <w:r w:rsidRPr="004A0A2C">
          <w:rPr>
            <w:sz w:val="24"/>
            <w:szCs w:val="24"/>
          </w:rPr>
          <w:t>2003 г</w:t>
        </w:r>
      </w:smartTag>
      <w:r w:rsidRPr="004A0A2C">
        <w:rPr>
          <w:sz w:val="24"/>
          <w:szCs w:val="24"/>
        </w:rPr>
        <w:t>. за номенклатурата на видовете строежи.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4 от 21 Май </w:t>
      </w:r>
      <w:smartTag w:uri="urn:schemas-microsoft-com:office:smarttags" w:element="metricconverter">
        <w:smartTagPr>
          <w:attr w:name="ProductID" w:val="2001 г"/>
        </w:smartTagPr>
        <w:r w:rsidRPr="004A0A2C">
          <w:rPr>
            <w:sz w:val="24"/>
            <w:szCs w:val="24"/>
          </w:rPr>
          <w:t>2001 г</w:t>
        </w:r>
      </w:smartTag>
      <w:r w:rsidRPr="004A0A2C">
        <w:rPr>
          <w:sz w:val="24"/>
          <w:szCs w:val="24"/>
        </w:rPr>
        <w:t>. за обхвата и съдържанието на инвестиционните проекти.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7 от 22 Декември </w:t>
      </w:r>
      <w:smartTag w:uri="urn:schemas-microsoft-com:office:smarttags" w:element="metricconverter">
        <w:smartTagPr>
          <w:attr w:name="ProductID" w:val="2003 г"/>
        </w:smartTagPr>
        <w:r w:rsidRPr="004A0A2C">
          <w:rPr>
            <w:sz w:val="24"/>
            <w:szCs w:val="24"/>
          </w:rPr>
          <w:t>2003 г</w:t>
        </w:r>
      </w:smartTag>
      <w:r w:rsidRPr="004A0A2C">
        <w:rPr>
          <w:sz w:val="24"/>
          <w:szCs w:val="24"/>
        </w:rPr>
        <w:t>.за правила и нормативи за устройство на отделни видове територии и устройствени зони..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РД-02-20-19 от 29 Декември </w:t>
      </w:r>
      <w:smartTag w:uri="urn:schemas-microsoft-com:office:smarttags" w:element="metricconverter">
        <w:smartTagPr>
          <w:attr w:name="ProductID" w:val="2011 г"/>
        </w:smartTagPr>
        <w:r w:rsidRPr="004A0A2C">
          <w:rPr>
            <w:sz w:val="24"/>
            <w:szCs w:val="24"/>
          </w:rPr>
          <w:t>2011 г</w:t>
        </w:r>
      </w:smartTag>
      <w:r w:rsidRPr="004A0A2C">
        <w:rPr>
          <w:sz w:val="24"/>
          <w:szCs w:val="24"/>
        </w:rPr>
        <w:t>. за проектиране на строителните конструкции на строежите чрез прилагане на европейската система за проектиране на строителни конструкции.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РД-02-20-2 от 27 Януари </w:t>
      </w:r>
      <w:smartTag w:uri="urn:schemas-microsoft-com:office:smarttags" w:element="metricconverter">
        <w:smartTagPr>
          <w:attr w:name="ProductID" w:val="2012 г"/>
        </w:smartTagPr>
        <w:r w:rsidRPr="004A0A2C">
          <w:rPr>
            <w:sz w:val="24"/>
            <w:szCs w:val="24"/>
          </w:rPr>
          <w:t>2012 г</w:t>
        </w:r>
      </w:smartTag>
      <w:r w:rsidRPr="004A0A2C">
        <w:rPr>
          <w:sz w:val="24"/>
          <w:szCs w:val="24"/>
        </w:rPr>
        <w:t>. за проектиране на сгради и съоръжения в земетръсни райони.</w:t>
      </w:r>
    </w:p>
    <w:p w:rsidR="00223593" w:rsidRPr="004A0A2C" w:rsidRDefault="00223593" w:rsidP="00223593">
      <w:pPr>
        <w:pStyle w:val="20"/>
        <w:shd w:val="clear" w:color="auto" w:fill="auto"/>
        <w:spacing w:after="0" w:line="269" w:lineRule="exact"/>
        <w:ind w:left="1480" w:firstLine="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2 от 22 Март </w:t>
      </w:r>
      <w:smartTag w:uri="urn:schemas-microsoft-com:office:smarttags" w:element="metricconverter">
        <w:smartTagPr>
          <w:attr w:name="ProductID" w:val="2004 г"/>
        </w:smartTagPr>
        <w:r w:rsidRPr="004A0A2C">
          <w:rPr>
            <w:sz w:val="24"/>
            <w:szCs w:val="24"/>
          </w:rPr>
          <w:t>2004 г</w:t>
        </w:r>
      </w:smartTag>
      <w:r w:rsidRPr="004A0A2C">
        <w:rPr>
          <w:sz w:val="24"/>
          <w:szCs w:val="24"/>
        </w:rPr>
        <w:t>. за минималните изисквания за здравословни и безопасни условия на труд при извършване на строителните и монтажни работи.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1з-1971 от 29 Октомври </w:t>
      </w:r>
      <w:smartTag w:uri="urn:schemas-microsoft-com:office:smarttags" w:element="metricconverter">
        <w:smartTagPr>
          <w:attr w:name="ProductID" w:val="2009 г"/>
        </w:smartTagPr>
        <w:r w:rsidRPr="004A0A2C">
          <w:rPr>
            <w:sz w:val="24"/>
            <w:szCs w:val="24"/>
          </w:rPr>
          <w:t>2009 г</w:t>
        </w:r>
      </w:smartTag>
      <w:r w:rsidRPr="004A0A2C">
        <w:rPr>
          <w:sz w:val="24"/>
          <w:szCs w:val="24"/>
        </w:rPr>
        <w:t>., за строително- технически правила и норми за осигуряване на безопасност при пожар.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>Наредба за управление на строителните отпадъци и за влагането на рециклирани строителни материали от 13.11.2012г.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7 от </w:t>
      </w:r>
      <w:smartTag w:uri="urn:schemas-microsoft-com:office:smarttags" w:element="metricconverter">
        <w:smartTagPr>
          <w:attr w:name="ProductID" w:val="2004 г"/>
        </w:smartTagPr>
        <w:r w:rsidRPr="004A0A2C">
          <w:rPr>
            <w:sz w:val="24"/>
            <w:szCs w:val="24"/>
          </w:rPr>
          <w:t>2004 г</w:t>
        </w:r>
      </w:smartTag>
      <w:r w:rsidRPr="004A0A2C">
        <w:rPr>
          <w:sz w:val="24"/>
          <w:szCs w:val="24"/>
        </w:rPr>
        <w:t>. за енергийна ефективност, топлосъхранение и икономия на енергия в сгради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4 от 17 Юни </w:t>
      </w:r>
      <w:smartTag w:uri="urn:schemas-microsoft-com:office:smarttags" w:element="metricconverter">
        <w:smartTagPr>
          <w:attr w:name="ProductID" w:val="2005 г"/>
        </w:smartTagPr>
        <w:r w:rsidRPr="004A0A2C">
          <w:rPr>
            <w:sz w:val="24"/>
            <w:szCs w:val="24"/>
          </w:rPr>
          <w:t>2005 г</w:t>
        </w:r>
      </w:smartTag>
      <w:r w:rsidRPr="004A0A2C">
        <w:rPr>
          <w:sz w:val="24"/>
          <w:szCs w:val="24"/>
        </w:rPr>
        <w:t>. за проектиране, изграждане и експлоатация на сградни водопроводни и канализационни инсталации.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 3 от 9 Юни </w:t>
      </w:r>
      <w:smartTag w:uri="urn:schemas-microsoft-com:office:smarttags" w:element="metricconverter">
        <w:smartTagPr>
          <w:attr w:name="ProductID" w:val="2004 г"/>
        </w:smartTagPr>
        <w:r w:rsidRPr="004A0A2C">
          <w:rPr>
            <w:sz w:val="24"/>
            <w:szCs w:val="24"/>
          </w:rPr>
          <w:t>2004 г</w:t>
        </w:r>
      </w:smartTag>
      <w:r w:rsidRPr="004A0A2C">
        <w:rPr>
          <w:sz w:val="24"/>
          <w:szCs w:val="24"/>
        </w:rPr>
        <w:t>. за устройство на електрическите уредби и електропроводните линии.</w:t>
      </w:r>
    </w:p>
    <w:p w:rsidR="00223593" w:rsidRPr="004A0A2C" w:rsidRDefault="00223593" w:rsidP="00223593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after="240" w:line="269" w:lineRule="exact"/>
        <w:ind w:left="1480" w:hanging="360"/>
        <w:jc w:val="left"/>
        <w:rPr>
          <w:sz w:val="24"/>
          <w:szCs w:val="24"/>
        </w:rPr>
      </w:pPr>
      <w:r w:rsidRPr="004A0A2C">
        <w:rPr>
          <w:sz w:val="24"/>
          <w:szCs w:val="24"/>
        </w:rPr>
        <w:t xml:space="preserve">Наредба №15 от 28 Юли </w:t>
      </w:r>
      <w:smartTag w:uri="urn:schemas-microsoft-com:office:smarttags" w:element="metricconverter">
        <w:smartTagPr>
          <w:attr w:name="ProductID" w:val="2005 г"/>
        </w:smartTagPr>
        <w:r w:rsidRPr="004A0A2C">
          <w:rPr>
            <w:sz w:val="24"/>
            <w:szCs w:val="24"/>
          </w:rPr>
          <w:t>2005 г</w:t>
        </w:r>
      </w:smartTag>
      <w:r w:rsidRPr="004A0A2C">
        <w:rPr>
          <w:sz w:val="24"/>
          <w:szCs w:val="24"/>
        </w:rPr>
        <w:t>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енергия.</w:t>
      </w:r>
    </w:p>
    <w:p w:rsidR="00223593" w:rsidRPr="004A0A2C" w:rsidRDefault="00223593" w:rsidP="00C975CD">
      <w:pPr>
        <w:pStyle w:val="20"/>
        <w:shd w:val="clear" w:color="auto" w:fill="auto"/>
        <w:spacing w:after="0" w:line="269" w:lineRule="exact"/>
        <w:ind w:firstLine="708"/>
        <w:rPr>
          <w:sz w:val="24"/>
          <w:szCs w:val="24"/>
        </w:rPr>
      </w:pPr>
      <w:r w:rsidRPr="004A0A2C">
        <w:rPr>
          <w:sz w:val="24"/>
          <w:szCs w:val="24"/>
        </w:rPr>
        <w:t>Проектите трябва да отговарят на действащото законодателство и Заданието за проектиране. При възлагането на всеки отделен договор в рамките на споразумението Възложителят ще конкретизира в индивидуално задание изискванията към конкретната разработка, обем и съдържание на проекта, както и ще предостави наличната текстова, таблична, графична и друга информация, необходима за работата на изпълнителя, в т.ч. типов проект, технически паспорт, доклад от енергийното обследване, кадастрална информация и др.</w:t>
      </w:r>
    </w:p>
    <w:p w:rsidR="0053503E" w:rsidRPr="004A0A2C" w:rsidRDefault="0053503E" w:rsidP="00223593">
      <w:pPr>
        <w:pStyle w:val="20"/>
        <w:shd w:val="clear" w:color="auto" w:fill="auto"/>
        <w:spacing w:after="0" w:line="269" w:lineRule="exact"/>
        <w:ind w:firstLine="720"/>
        <w:rPr>
          <w:sz w:val="24"/>
          <w:szCs w:val="24"/>
        </w:rPr>
      </w:pP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2. Изисквания за изпълнение на поръчката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При изпълнението на поръчката, Изпълнителят следва да спазва действащата приложима нормативна и поднормативна уредба.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Инвестиционните проекти се възлагат на основание чл. 139, ал. 1, т. 3 и ал. 2 от ЗУТ,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във връзка с чл. 15 от ЗЕЕ.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Инвестиционните проекти следва да се изработят в обхвата и съдържанието, съответстващи на фазата на възлагане, съгласно изискванията на Наредба № 4 от </w:t>
      </w:r>
      <w:smartTag w:uri="urn:schemas-microsoft-com:office:smarttags" w:element="metricconverter">
        <w:smartTagPr>
          <w:attr w:name="ProductID" w:val="2001 г"/>
        </w:smartTagPr>
        <w:r w:rsidRPr="004A0A2C">
          <w:rPr>
            <w:rFonts w:ascii="Times New Roman" w:eastAsia="Times New Roman" w:hAnsi="Times New Roman"/>
            <w:sz w:val="24"/>
            <w:szCs w:val="24"/>
            <w:lang w:val="bg-BG" w:eastAsia="bg-BG"/>
          </w:rPr>
          <w:t>2001 г</w:t>
        </w:r>
      </w:smartTag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. за обхвата и съдържанието на инвестиционните проекти и специфичните изисквания на проекта.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Предмет на изработване на инвестиционните проекти са проектните части, за които с обследването за енергийна ефективност са идентифицирани и предписани СМР за подобряване на енергийните характеристики на отделни елементи на сградите, разглеждани като интегрирани системи, които разходват енергия.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СМР с енергоспестяващ ефект и съпътстващите мерки ще се изпълнят в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съответствие с оценените за съответствие, съгласувани и одобрени инвестиционни проекти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на сградите, за които е издадено разрешение за строеж при условията и по реда на ЗУТ.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Работните проекти подлежат на процедура по съгласуване и одобряване, приусловията и по реда на ЗУТ, в т. ч. издаване на разрешения за строеж.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 част Архитектурна на работените проекти, Изпълнителят следва да предложи ново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архитектурно-художествено естетическо решение, съобразно със състоянието на сградата: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съответно оформяне на фасадите, във връзка с предписаните ЕСМ, в т. ч. на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предпазните парапети на прозорци, балкони/лоджии, цветарници и др. фасадни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елементи;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членение и отваряемост на новата дограма;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затваряне/остъкляване на балкони/лоджии към самостоятелните обекти, означени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като втори етап;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разположение на климатизаторите (съобразено и с начина на отвеждане на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конденза), сателитните антени и др., означени като втори етап;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цветово решение.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За дограмата следва да се изработи Спецификация на дограмата по самостоятелни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обекти, етажи и фасади.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Членението на новата дограма следва да е съобразена с функционалното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предназначение на помещенията, местоположението и фасадно решение, при оптимална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максимална отваряемост и двуплоскостно отваряне.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Проектните документации следва да включват и всички нормативно изисквани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предвиждания, съгласно действащата нормативна уредба, които следва да се означат като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втори етап, ако не са допустими за финансиране по проекта.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Част Енергийна ефективност на проектите следва да се разработят в обхват и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съдържание, съгласно изискванията на Наредба № 7 от </w:t>
      </w:r>
      <w:smartTag w:uri="urn:schemas-microsoft-com:office:smarttags" w:element="metricconverter">
        <w:smartTagPr>
          <w:attr w:name="ProductID" w:val="2004 г"/>
        </w:smartTagPr>
        <w:r w:rsidRPr="004A0A2C">
          <w:rPr>
            <w:rFonts w:ascii="Times New Roman" w:eastAsia="Times New Roman" w:hAnsi="Times New Roman"/>
            <w:sz w:val="24"/>
            <w:szCs w:val="24"/>
            <w:lang w:val="bg-BG" w:eastAsia="bg-BG"/>
          </w:rPr>
          <w:t>2004 г</w:t>
        </w:r>
      </w:smartTag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. за енергийна ефективност,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топлосъхранение и икономия на енергия в сгради, издадена на основание ЗУТ.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При разработването на част Енергийна ефективност на инвестиционните проекти,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класът на енергопотребление на сградата не може да бъде по-малък от енергийния клас,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посочен и съответстващ на специфичния годишен разход на енергия в колона „след ЕСМ“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на стр. 1 от сертификата.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За част Архитектурна и част Енергийна ефективност задължително се разработват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работни монтажни детайли. Към част Конст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руктивна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следва да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се разработят работни монтажни детайли за изпълнението на предписаните ЕСМ.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Част Конструк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тивна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следва да се подпише и подпечата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освен от изготвилия го инженер-конструктор и от лицето, упражняващо технически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контрол по част Конструктивна.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Всички части на проектите следва да се разработят, подпишат и съгласуват от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проектантите от екипа с правоспособност да изработват съответните части, съгласно Закона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за камарата на архитектите и инженерите в инвестиционното проектиране.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Към изработените проекти по съответните части следва де се приложат копия от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валидни удостоверения за правоспособност, заверени „Вярно с оригинала“.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Водещите технически параметри при изработването на работните проекти, в т.ч.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детайлите за полагане на топлинната изолация и монтажа на новата дограма са енергийните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показатели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за сградните ограждащи конструкции и елементи, изчислени в енергийното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обследване, както и енергийното потребление на сградите след изпълнение на ЕСМ.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Архитектурно-строителните монтажни детайли следва да се изработят за всички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характерни и специфични части и елементи на ограждащата конструкция на сградата и др.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характерни фасадни елементи, включително архитектурното оформление, съобразено с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резултата от предвидените енергоспестяващи мерки.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Архитектурно-строителните монтажни детайли включват структурата на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строителните елементи след изпълнение на ЕСМ, дебелините на слоевете, вида на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строителните материали, коефициентите на топлопроводност, на база на проучване от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изпитване на строителни материали и др.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Архитектурно-строителните монтажни детайли визуализират начина на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изпълнението/монтажа на топлоизолационни системи в сградите, монтажа при специфично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изпълнение и на другите съпътстващи СМР в сградите, които подлежат на обновяване.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Архитектурно-строителните монтажни детайли се прилагат към всяка от проектните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части Архитектурна и Енергийна ефективност.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Технологията на изпълнение на видовете строителни работи, в т. ч. топлинната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изолация, подмяната на дограмата, оформянето на топлинната изолация около прозорци,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врати и др. следва да се опише подробно в обяснителните записки на проектните части.</w:t>
      </w:r>
    </w:p>
    <w:p w:rsidR="0053503E" w:rsidRPr="004A0A2C" w:rsidRDefault="0053503E" w:rsidP="00BE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При изработването на архитектурно-строителните детайли следва да се спазват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изискванията на Глава четиринадесета „Част енергийна ефективност на инвестиционния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проект” от Наредба № 4 за обхвата и съдържанието на инвестиционните проекти, като в</w:t>
      </w:r>
      <w:r w:rsidR="00BE0E90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описанието за изпълнение и монтаж се избягват фирмените наименования на продуктите и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се използват неутрални и/или нормативно определени наименования.</w:t>
      </w:r>
    </w:p>
    <w:p w:rsidR="0053503E" w:rsidRPr="004A0A2C" w:rsidRDefault="0053503E" w:rsidP="00356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За постигане на съгласуваност и съответствие на инженерните дейности по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обследванията на сградата с процеса на проектиране, при изработване на проекта 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спецификацията на новата дограма на сградата, която ще се монтира на база на работния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инвестиционен проект, следва да се използват означенията на отделните типове 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типоразмери на дограмата, посочени в обследването за енергийна ефективност 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техническото заснемане. Същото изискване важи и за означенията на самостоятелните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обекти и типовете стени в сградата и Количествената и Количествено-стойностната сметки.</w:t>
      </w:r>
    </w:p>
    <w:p w:rsidR="0053503E" w:rsidRPr="004A0A2C" w:rsidRDefault="00C975CD" w:rsidP="00356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Част </w:t>
      </w:r>
      <w:r w:rsidR="0053503E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Архитектурна следва да включва техническите характеристики на строителните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3503E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материали и изделия, които следва да съответстват на препоръчаните технически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3503E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характеристики в енергийното обследване на сградите за постигане на енергийните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3503E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характеристики.</w:t>
      </w:r>
    </w:p>
    <w:p w:rsidR="0053503E" w:rsidRPr="004A0A2C" w:rsidRDefault="0053503E" w:rsidP="00C97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С измерванията, изчисленията и предвидените строителни продукти следва да се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докаже осигуряването на изискванията по чл. 169 от ЗУТ.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Техническите характеристики на предвидените в работните проекти строителни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продукти и материали следва да съответстват на заложените изисквания в индикативните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бюджети на сградите.</w:t>
      </w:r>
    </w:p>
    <w:p w:rsidR="0053503E" w:rsidRPr="004A0A2C" w:rsidRDefault="0053503E" w:rsidP="00356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В изпълнение на своите задължения Изпълнителите следва да:</w:t>
      </w:r>
    </w:p>
    <w:p w:rsidR="0053503E" w:rsidRPr="004A0A2C" w:rsidRDefault="0053503E" w:rsidP="0035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изработят в необходимия нормативен обхват и съдържание инвестиционните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проекти за всяка възложена сграда, по предвидените в поръчката и в настоящата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техническа спецификация проектни части, чрез екип от правоспособни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проектанти – физически лица с доказан професионален опит и технически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компетентности, отговарящи на изискванията на ЗУТ, на Закона за камарите на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архитектите и инженерите в инвестиционното проектиране, както и на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минималните изисквания на Възложителя, посочени в поканата и в Изисквания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към участниците от документацията за участие в настоящата процедура;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уведомява Възложителя своевременно за всички възникнали въпроси в хода на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изработването на проектите, свързани с възможните технически решения за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изпълнение, с цел определяне на конкретното решение от Възложителя;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изпълни качествено и в срок препоръките на Възложителя, собствениците и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общинската администрация в процедурата по съгласуване и одобряване на</w:t>
      </w:r>
      <w:r w:rsidR="00356188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проекта и издаване на разрешение за строеж при условията и по реда на ЗУТ;</w:t>
      </w:r>
    </w:p>
    <w:p w:rsidR="0053503E" w:rsidRPr="004A0A2C" w:rsidRDefault="0053503E" w:rsidP="005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 xml:space="preserve">-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упражнява авторски надзор по време на СМР за всяка възложена сграда.</w:t>
      </w:r>
    </w:p>
    <w:p w:rsidR="0053503E" w:rsidRPr="004A0A2C" w:rsidRDefault="0053503E" w:rsidP="0035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- </w:t>
      </w:r>
      <w:r w:rsidRPr="004A0A2C">
        <w:rPr>
          <w:rFonts w:ascii="Times New Roman" w:hAnsi="Times New Roman"/>
          <w:sz w:val="24"/>
          <w:szCs w:val="24"/>
          <w:lang w:val="bg-BG" w:eastAsia="bg-BG"/>
        </w:rPr>
        <w:t>осигури необходимата организация за ефективна комуникация на своя екип в</w:t>
      </w:r>
      <w:r w:rsidR="00356188" w:rsidRPr="004A0A2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hAnsi="Times New Roman"/>
          <w:sz w:val="24"/>
          <w:szCs w:val="24"/>
          <w:lang w:val="bg-BG" w:eastAsia="bg-BG"/>
        </w:rPr>
        <w:t>процеса на проектиране и изпълнение на авторския надзор по време на</w:t>
      </w:r>
      <w:r w:rsidR="00356188" w:rsidRPr="004A0A2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hAnsi="Times New Roman"/>
          <w:sz w:val="24"/>
          <w:szCs w:val="24"/>
          <w:lang w:val="bg-BG" w:eastAsia="bg-BG"/>
        </w:rPr>
        <w:t>изпълнението на СМР, съгласно законовите изисквания и специфичните</w:t>
      </w:r>
      <w:r w:rsidR="00356188" w:rsidRPr="004A0A2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hAnsi="Times New Roman"/>
          <w:sz w:val="24"/>
          <w:szCs w:val="24"/>
          <w:lang w:val="bg-BG" w:eastAsia="bg-BG"/>
        </w:rPr>
        <w:t>изисквания на проекта и Възложителя</w:t>
      </w:r>
      <w:r w:rsidRPr="004A0A2C">
        <w:rPr>
          <w:rFonts w:ascii="Times New Roman" w:hAnsi="Times New Roman"/>
          <w:lang w:val="bg-BG" w:eastAsia="bg-BG"/>
        </w:rPr>
        <w:t>.</w:t>
      </w:r>
    </w:p>
    <w:p w:rsidR="00F42824" w:rsidRPr="004A0A2C" w:rsidRDefault="00F42824" w:rsidP="00223593">
      <w:pPr>
        <w:pStyle w:val="20"/>
        <w:shd w:val="clear" w:color="auto" w:fill="auto"/>
        <w:spacing w:after="0" w:line="269" w:lineRule="exact"/>
        <w:ind w:firstLine="720"/>
        <w:rPr>
          <w:sz w:val="24"/>
          <w:szCs w:val="24"/>
          <w:lang w:val="bg-BG"/>
        </w:rPr>
      </w:pPr>
    </w:p>
    <w:p w:rsidR="002374EC" w:rsidRPr="004A0A2C" w:rsidRDefault="00B67455" w:rsidP="00F42824">
      <w:pPr>
        <w:pStyle w:val="ListParagraph"/>
        <w:spacing w:after="120"/>
        <w:ind w:left="0"/>
        <w:jc w:val="both"/>
        <w:rPr>
          <w:b/>
        </w:rPr>
      </w:pPr>
      <w:r w:rsidRPr="004A0A2C">
        <w:rPr>
          <w:b/>
          <w:lang w:val="ru-RU"/>
        </w:rPr>
        <w:t>3</w:t>
      </w:r>
      <w:r w:rsidR="00F42824" w:rsidRPr="004A0A2C">
        <w:rPr>
          <w:b/>
          <w:lang w:val="ru-RU"/>
        </w:rPr>
        <w:t xml:space="preserve">. </w:t>
      </w:r>
      <w:r w:rsidR="002374EC" w:rsidRPr="004A0A2C">
        <w:rPr>
          <w:b/>
        </w:rPr>
        <w:t>Специфични технически изисквания към топлофизичните характеристики на строителните продукти за постигане на енергоспестяващия ефект в сградите.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За намаляване на разхода на енергия и подобряване на енергийните характеристики на съответната сграда по националната програма, следва да се предвиждат топлоизолационни продукти, чиито технически характеристики съответстват на нормативните изисквания за енергийна ефективност в сградите. Връзката между изискването за икономия на енергия и съответните продуктови области, повлияни от това изискване е направена в табл. 1:</w:t>
      </w:r>
    </w:p>
    <w:tbl>
      <w:tblPr>
        <w:tblpPr w:leftFromText="141" w:rightFromText="141" w:vertAnchor="text" w:horzAnchor="margin" w:tblpY="268"/>
        <w:tblW w:w="5000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55"/>
        <w:gridCol w:w="3181"/>
        <w:gridCol w:w="5112"/>
      </w:tblGrid>
      <w:tr w:rsidR="002374EC" w:rsidRPr="004A0A2C">
        <w:trPr>
          <w:trHeight w:val="547"/>
          <w:tblCellSpacing w:w="28" w:type="dxa"/>
        </w:trPr>
        <w:tc>
          <w:tcPr>
            <w:tcW w:w="579" w:type="pct"/>
            <w:gridSpan w:val="2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Таблица 1</w:t>
            </w:r>
          </w:p>
        </w:tc>
        <w:tc>
          <w:tcPr>
            <w:tcW w:w="4335" w:type="pct"/>
            <w:gridSpan w:val="2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ind w:left="57" w:right="28"/>
              <w:jc w:val="both"/>
              <w:rPr>
                <w:rFonts w:ascii="Times New Roman" w:eastAsia="Arial" w:hAnsi="Times New Roman"/>
                <w:b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Arial" w:hAnsi="Times New Roman"/>
                <w:b/>
                <w:sz w:val="20"/>
                <w:szCs w:val="20"/>
                <w:lang w:val="bg-BG" w:eastAsia="bg-BG"/>
              </w:rPr>
              <w:t>Съответствие на продуктовите области с показателите за разход на енергия, регламентирани в националното законодателство по енергийна ефективност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943" w:type="pct"/>
            <w:gridSpan w:val="4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А. Продуктови области, които са обхванати от Регламент (ЕС) № 305/2011 г.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Код на област*</w:t>
            </w:r>
          </w:p>
        </w:tc>
        <w:tc>
          <w:tcPr>
            <w:tcW w:w="1833" w:type="pct"/>
            <w:gridSpan w:val="2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Продуктова област</w:t>
            </w:r>
          </w:p>
        </w:tc>
        <w:tc>
          <w:tcPr>
            <w:tcW w:w="2634" w:type="pct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Връзка с показатели за разход на енергия от наредбата за енергийните характеристики на сградите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Врати, прозорци, капаци, врати за промишлени и търговски сгради и за гаражи и свързаният с тях обков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топлопреминаване през прозорците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K)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топлинни загуби от топлопреминаване към околната среда (kW)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топлинни загуби от инфилтрация на външен въздух (kW)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топлопреминаване през външните стени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K)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топлинни загуби от топлопреминаване към околната среда (kW)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Дървесни плочи (панели) и елементи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топлопреминаване през външните стени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K)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топлопреминаване през външните стени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K)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топлинни загуби от топлопреминаване към околната среда (kW)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Покривни покрития, горно осветление, покривни прозорци и спомагателни продукти, покривни комплекти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топлопреминаване през прозорците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K);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топлопреминаване през покрива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K)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топлинни загуби от инфилтрация на външен въздух (kW)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Строителни лепила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топлопреминаване през външните стени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K)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топлинни загуби от топлопреминаване към околната среда (kW)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27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Устройства за отопление  (отоплителни тела от всякакъв тип като елементи от система)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- коефициент на полезно действие на преноса на топлина от източника до отоплявания и/ или охлаждания обем на сградата (%);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- коефициент на полезно действие на генератора на топлина и/ или студ (%);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34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Строителни комплекти, компоненти, предварително изготвени елементи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общ годишен специфичен разход на енергия за отопление, охлаждане, вентилация, гореща вода, 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осветление и уреди (kWh/ m2);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943" w:type="pct"/>
            <w:gridSpan w:val="4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lastRenderedPageBreak/>
              <w:t>Б.</w:t>
            </w:r>
            <w:r w:rsidRPr="004A0A2C">
              <w:rPr>
                <w:rFonts w:ascii="Times New Roman" w:hAnsi="Times New Roman"/>
                <w:b/>
                <w:color w:val="000000"/>
                <w:sz w:val="20"/>
                <w:szCs w:val="20"/>
                <w:lang w:val="bg-BG"/>
              </w:rPr>
              <w:t>Продуктови области, които не са обхванати от Регламент (ЕС) № 305/2011 – продукти, потребяващи енергия, за които в делегирани регламенти на Европейската комисия са определени изисквания във връзка с изпълнението на Директива 2010/30/ЕС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Лампи за осветление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общи специфични топлинни загуби/ притоци (W/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3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Автономни климатизатори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коефициент на трансформация на генератора на топлина и/ или студ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топлинна мощност на системата за отопление (kW)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топлинна мощност на системата за охлаждане (kW)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Водогрейни котли за отопление и БГВ (вкл. изгарящи пелети и дърва)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топлинна мощност на системата за отопление (kW);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Слънчеви колектори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топлинна мощност на системата за гореща вода (kW)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Абонатни станции (комплекти)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топлинна мощност на системата за отопление (kW)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топлинна мощност на системата за БГВ (kW)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Водоохлаждащи агрегати и въздухоохладители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Термопомпи (комплекти)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 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419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833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Рекуператори на топлина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2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</w:tbl>
    <w:p w:rsidR="002374EC" w:rsidRPr="004A0A2C" w:rsidRDefault="002374EC" w:rsidP="002374EC">
      <w:pPr>
        <w:spacing w:after="12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975CD" w:rsidRPr="004A0A2C" w:rsidRDefault="00C975CD" w:rsidP="002374EC">
      <w:pPr>
        <w:spacing w:after="12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975CD" w:rsidRPr="004A0A2C" w:rsidRDefault="00C975CD" w:rsidP="002374EC">
      <w:pPr>
        <w:spacing w:after="12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975CD" w:rsidRPr="004A0A2C" w:rsidRDefault="00C975CD" w:rsidP="002374EC">
      <w:pPr>
        <w:spacing w:after="12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53807" w:rsidRPr="004A0A2C" w:rsidRDefault="00F53807" w:rsidP="00B6745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74EC" w:rsidRPr="004A0A2C" w:rsidRDefault="00C975CD" w:rsidP="00F53807">
      <w:pPr>
        <w:pStyle w:val="ListParagraph"/>
        <w:spacing w:after="120"/>
        <w:ind w:left="0"/>
        <w:jc w:val="both"/>
        <w:rPr>
          <w:b/>
          <w:bCs/>
        </w:rPr>
      </w:pPr>
      <w:r w:rsidRPr="004A0A2C">
        <w:rPr>
          <w:b/>
          <w:bCs/>
        </w:rPr>
        <w:t>4</w:t>
      </w:r>
      <w:r w:rsidR="00F53807" w:rsidRPr="004A0A2C">
        <w:rPr>
          <w:b/>
          <w:bCs/>
        </w:rPr>
        <w:t>.</w:t>
      </w:r>
      <w:r w:rsidR="002374EC" w:rsidRPr="004A0A2C">
        <w:rPr>
          <w:b/>
          <w:bCs/>
        </w:rPr>
        <w:t xml:space="preserve">Продуктови области, обхванати от Регламент </w:t>
      </w:r>
      <w:r w:rsidR="002374EC" w:rsidRPr="004A0A2C">
        <w:rPr>
          <w:rFonts w:eastAsia="Calibri"/>
          <w:b/>
        </w:rPr>
        <w:t>(ЕС) № 305/2011 г.</w:t>
      </w:r>
    </w:p>
    <w:tbl>
      <w:tblPr>
        <w:tblpPr w:leftFromText="141" w:rightFromText="141" w:vertAnchor="text" w:horzAnchor="margin" w:tblpY="268"/>
        <w:tblW w:w="5236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55"/>
        <w:gridCol w:w="1176"/>
        <w:gridCol w:w="1714"/>
        <w:gridCol w:w="5613"/>
      </w:tblGrid>
      <w:tr w:rsidR="002374EC" w:rsidRPr="004A0A2C">
        <w:trPr>
          <w:trHeight w:val="547"/>
          <w:tblCellSpacing w:w="28" w:type="dxa"/>
        </w:trPr>
        <w:tc>
          <w:tcPr>
            <w:tcW w:w="763" w:type="pct"/>
            <w:gridSpan w:val="2"/>
            <w:shd w:val="clear" w:color="auto" w:fill="92D050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Таблица 2</w:t>
            </w:r>
          </w:p>
        </w:tc>
        <w:tc>
          <w:tcPr>
            <w:tcW w:w="4153" w:type="pct"/>
            <w:gridSpan w:val="3"/>
            <w:shd w:val="clear" w:color="auto" w:fill="92D050"/>
          </w:tcPr>
          <w:p w:rsidR="002374EC" w:rsidRPr="004A0A2C" w:rsidRDefault="002374EC" w:rsidP="002374EC">
            <w:pPr>
              <w:spacing w:after="120" w:line="240" w:lineRule="auto"/>
              <w:ind w:left="57" w:right="28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Arial" w:hAnsi="Times New Roman"/>
                <w:b/>
                <w:sz w:val="20"/>
                <w:szCs w:val="20"/>
                <w:lang w:val="bg-BG" w:eastAsia="bg-BG"/>
              </w:rPr>
              <w:t>Технически спецификации в конкретната продуктова област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362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N</w:t>
            </w:r>
            <w:r w:rsidRPr="004A0A2C">
              <w:rPr>
                <w:rFonts w:ascii="Times New Roman" w:hAnsi="Times New Roman"/>
                <w:sz w:val="20"/>
                <w:szCs w:val="20"/>
                <w:vertAlign w:val="superscript"/>
                <w:lang w:val="bg-BG"/>
              </w:rPr>
              <w:t>o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Продуктова област</w:t>
            </w:r>
          </w:p>
        </w:tc>
        <w:tc>
          <w:tcPr>
            <w:tcW w:w="670" w:type="pct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Продукти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Стандарти в конкретната тематична област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362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Врати, прозорци, капаци, врати за 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промишлени и търговски сгради и за гаражи и свързаният с тях обков</w:t>
            </w:r>
          </w:p>
        </w:tc>
        <w:tc>
          <w:tcPr>
            <w:tcW w:w="670" w:type="pct"/>
          </w:tcPr>
          <w:p w:rsidR="002374EC" w:rsidRPr="004A0A2C" w:rsidRDefault="002374EC" w:rsidP="002374EC">
            <w:pPr>
              <w:keepNext/>
              <w:tabs>
                <w:tab w:val="left" w:pos="2988"/>
              </w:tabs>
              <w:spacing w:after="120" w:line="240" w:lineRule="auto"/>
              <w:ind w:right="-8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2374EC" w:rsidRPr="004A0A2C" w:rsidRDefault="002374EC" w:rsidP="002374EC">
            <w:pPr>
              <w:keepNext/>
              <w:tabs>
                <w:tab w:val="left" w:pos="2988"/>
              </w:tabs>
              <w:spacing w:after="120" w:line="240" w:lineRule="auto"/>
              <w:ind w:right="-8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2374EC" w:rsidRPr="004A0A2C" w:rsidRDefault="002374EC" w:rsidP="002374EC">
            <w:pPr>
              <w:keepNext/>
              <w:tabs>
                <w:tab w:val="left" w:pos="2988"/>
              </w:tabs>
              <w:spacing w:after="120" w:line="240" w:lineRule="auto"/>
              <w:ind w:right="-8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2374EC" w:rsidRPr="004A0A2C" w:rsidRDefault="002374EC" w:rsidP="002374EC">
            <w:pPr>
              <w:keepNext/>
              <w:tabs>
                <w:tab w:val="left" w:pos="2988"/>
              </w:tabs>
              <w:spacing w:after="120" w:line="240" w:lineRule="auto"/>
              <w:ind w:right="-8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1" w:name="_Toc409108753"/>
            <w:bookmarkStart w:id="2" w:name="_Toc409109030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Сглобяеми</w:t>
            </w:r>
            <w:bookmarkEnd w:id="1"/>
            <w:bookmarkEnd w:id="2"/>
          </w:p>
          <w:p w:rsidR="002374EC" w:rsidRPr="004A0A2C" w:rsidRDefault="002374EC" w:rsidP="002374EC">
            <w:pPr>
              <w:keepNext/>
              <w:tabs>
                <w:tab w:val="left" w:pos="2988"/>
              </w:tabs>
              <w:spacing w:after="120" w:line="240" w:lineRule="auto"/>
              <w:ind w:right="-8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3" w:name="_Toc409108754"/>
            <w:bookmarkStart w:id="4" w:name="_Toc409109031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готови за</w:t>
            </w:r>
            <w:bookmarkEnd w:id="3"/>
            <w:bookmarkEnd w:id="4"/>
          </w:p>
          <w:p w:rsidR="002374EC" w:rsidRPr="004A0A2C" w:rsidRDefault="002374EC" w:rsidP="002374EC">
            <w:pPr>
              <w:keepNext/>
              <w:tabs>
                <w:tab w:val="left" w:pos="2988"/>
              </w:tabs>
              <w:spacing w:after="120" w:line="240" w:lineRule="auto"/>
              <w:ind w:right="-8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5" w:name="_Toc409108755"/>
            <w:bookmarkStart w:id="6" w:name="_Toc409109032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монтаж</w:t>
            </w:r>
            <w:bookmarkEnd w:id="5"/>
            <w:bookmarkEnd w:id="6"/>
          </w:p>
          <w:p w:rsidR="002374EC" w:rsidRPr="004A0A2C" w:rsidRDefault="002374EC" w:rsidP="002374EC">
            <w:pPr>
              <w:keepNext/>
              <w:tabs>
                <w:tab w:val="left" w:pos="2988"/>
              </w:tabs>
              <w:spacing w:after="120" w:line="240" w:lineRule="auto"/>
              <w:ind w:right="-8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7" w:name="_Toc409108756"/>
            <w:bookmarkStart w:id="8" w:name="_Toc409109033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елементи</w:t>
            </w:r>
            <w:bookmarkEnd w:id="7"/>
            <w:bookmarkEnd w:id="8"/>
          </w:p>
        </w:tc>
        <w:tc>
          <w:tcPr>
            <w:tcW w:w="2811" w:type="pct"/>
            <w:shd w:val="clear" w:color="auto" w:fill="auto"/>
            <w:vAlign w:val="center"/>
          </w:tcPr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9" w:name="_Toc409108757"/>
            <w:bookmarkStart w:id="10" w:name="_Toc409109034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 xml:space="preserve">БДС EN 13241-1:2003+A1 - Врати за промишлени и търговски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>сгради и за гаражи</w:t>
            </w:r>
            <w:bookmarkEnd w:id="9"/>
            <w:bookmarkEnd w:id="10"/>
          </w:p>
          <w:p w:rsidR="002374EC" w:rsidRPr="004A0A2C" w:rsidRDefault="002374EC" w:rsidP="002374EC">
            <w:pPr>
              <w:spacing w:after="120" w:line="240" w:lineRule="auto"/>
              <w:ind w:left="-23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стандарт за продукт </w:t>
            </w:r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11" w:name="_Toc409108758"/>
            <w:bookmarkStart w:id="12" w:name="_Toc409109035"/>
            <w:r w:rsidRPr="004A0A2C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БДС EN 14351-1/NА - Врати и прозорци</w:t>
            </w:r>
            <w:bookmarkEnd w:id="11"/>
            <w:bookmarkEnd w:id="12"/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стандарт за продукт, технически характеристики 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Част 1: Прозорци и външни врати без характеристики за устойчивост на огън и/или пропускане на дим</w:t>
            </w:r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bookmarkStart w:id="13" w:name="_Toc409108759"/>
            <w:bookmarkStart w:id="14" w:name="_Toc409109036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БДСISO 18292 - </w:t>
            </w:r>
            <w:r w:rsidRPr="004A0A2C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Енергийни характеристики на остъклени системи за жилищни сгради</w:t>
            </w:r>
            <w:bookmarkEnd w:id="13"/>
            <w:bookmarkEnd w:id="14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362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670" w:type="pct"/>
          </w:tcPr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Полистирени</w:t>
            </w: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Вати</w:t>
            </w: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Дървесни </w:t>
            </w: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Влакна</w:t>
            </w: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Минерални</w:t>
            </w:r>
          </w:p>
          <w:p w:rsidR="002374EC" w:rsidRPr="004A0A2C" w:rsidRDefault="002374EC" w:rsidP="002374EC">
            <w:pPr>
              <w:spacing w:after="12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топлоизолационни плочи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ind w:right="33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БДС EN 13163 - Топлоизолационни продукти за сгради продукти от експандиран полистирен (EPS), произведени в заводски условия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БДС EN 13164 - </w:t>
            </w:r>
            <w:r w:rsidRPr="004A0A2C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Топлоизолационни продукти за сгради </w:t>
            </w:r>
            <w:r w:rsidRPr="004A0A2C">
              <w:rPr>
                <w:rFonts w:ascii="Times New Roman" w:hAnsi="Times New Roman"/>
                <w:noProof/>
                <w:sz w:val="20"/>
                <w:szCs w:val="20"/>
                <w:lang w:val="bg-BG"/>
              </w:rPr>
              <w:t xml:space="preserve">продукти от екструдиран полистирен (XPS), произведени в </w:t>
            </w: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заводски условия</w:t>
            </w:r>
          </w:p>
          <w:p w:rsidR="002374EC" w:rsidRPr="004A0A2C" w:rsidRDefault="002374EC" w:rsidP="002374E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БДС EN  13166 - Топлоизолационни продукти за сгради продукти от твърд пенофенопласт (PF), произведени в заводски условия</w:t>
            </w:r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15" w:name="_Toc409108760"/>
            <w:bookmarkStart w:id="16" w:name="_Toc409109037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 EN 13167 - Топлоизолационни продукти за сгради продукти от пеностъкло (cg), произведени в заводски условия</w:t>
            </w:r>
            <w:bookmarkEnd w:id="15"/>
            <w:bookmarkEnd w:id="16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17" w:name="_Toc409108761"/>
            <w:bookmarkStart w:id="18" w:name="_Toc409109038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 EN 13168 – Топлоизолационни продукти на сгради Продукти от дървесна вата (WW) произведени в заводски условия</w:t>
            </w:r>
            <w:bookmarkEnd w:id="17"/>
            <w:bookmarkEnd w:id="18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19" w:name="_Toc409108762"/>
            <w:bookmarkStart w:id="20" w:name="_Toc409109039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 EN 13169 -Топлоизолационни продукти за сгради продукти от експандиран перлит (EPB), произведени в заводски условия</w:t>
            </w:r>
            <w:bookmarkEnd w:id="19"/>
            <w:bookmarkEnd w:id="20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21" w:name="_Toc409108763"/>
            <w:bookmarkStart w:id="22" w:name="_Toc409109040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БДСEN 13170 - Топлоизолационни продукти за сгради продукти от експандиран корк (ICB), произведени в заводски условия</w:t>
            </w:r>
            <w:bookmarkEnd w:id="21"/>
            <w:bookmarkEnd w:id="22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</w:pPr>
            <w:bookmarkStart w:id="23" w:name="_Toc409108764"/>
            <w:bookmarkStart w:id="24" w:name="_Toc409109041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БДСEN 13171 - Топлоизолационни продукти за сгради продукти от дървесни влакна (WF), произведени в заводски условия</w:t>
            </w:r>
            <w:bookmarkEnd w:id="23"/>
            <w:bookmarkEnd w:id="24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</w:pPr>
            <w:bookmarkStart w:id="25" w:name="_Toc409108765"/>
            <w:bookmarkStart w:id="26" w:name="_Toc409109042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БДСEN 13162 - Топлоизолационни продукти за сгради. продукти от минерална вата (MW), произведени в заводски условия.</w:t>
            </w:r>
            <w:bookmarkEnd w:id="25"/>
            <w:bookmarkEnd w:id="26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27" w:name="_Toc409108766"/>
            <w:bookmarkStart w:id="28" w:name="_Toc409109043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 EN ISO 13788 -Хигротермални характеристики на строителни компоненти и строителни елементи. Температура на вътрешната повърхност за предотвратяване на критична влажност на повърхността и конденз в пукнатини. Изчислителни методи (ISO/DIS 13788-2011)</w:t>
            </w:r>
            <w:bookmarkEnd w:id="27"/>
            <w:bookmarkEnd w:id="28"/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bookmarkStart w:id="29" w:name="_Toc409108767"/>
            <w:bookmarkStart w:id="30" w:name="_Toc409109044"/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БДС EN ISO 14683 – Топлинни мостове в строителните конструкции. Коефициент на линейно топлопреминаване. Опростени методи и и ориентировъчни изчислителни стойности</w:t>
            </w:r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ЕТО 05-093Минерални топлоизолационни плочи</w:t>
            </w:r>
            <w:bookmarkEnd w:id="29"/>
            <w:bookmarkEnd w:id="30"/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362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670" w:type="pct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Тухли</w:t>
            </w: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Камък</w:t>
            </w:r>
          </w:p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Газобетон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lastRenderedPageBreak/>
              <w:t>БДС EN 771-1 +А1 – Изисквания за блокове за зидария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БДС EN 771-1/NА - Изисквания за блокове за зидария Част 1: Глинени блокове за зидария 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Национално приложение (NА)</w:t>
            </w:r>
          </w:p>
          <w:p w:rsidR="002374EC" w:rsidRPr="004A0A2C" w:rsidRDefault="002374EC" w:rsidP="002374EC">
            <w:pPr>
              <w:keepNext/>
              <w:spacing w:after="120" w:line="240" w:lineRule="auto"/>
              <w:ind w:right="33"/>
              <w:jc w:val="both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bookmarkStart w:id="31" w:name="_Toc409108768"/>
            <w:bookmarkStart w:id="32" w:name="_Toc409109045"/>
            <w:r w:rsidRPr="004A0A2C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БДС EN 771-2 - Изисквания за блокове за зидария Част 2: Калциево-силикатни блокове за зидария</w:t>
            </w:r>
            <w:bookmarkEnd w:id="31"/>
            <w:bookmarkEnd w:id="32"/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БДС EN 771-2/NА - Изисквания за блокове за зидария Част 2: </w:t>
            </w: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lastRenderedPageBreak/>
              <w:t>Калциево-силикатни блокове за зидария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БДС EN 771-4 +А1 - Изисквания за блокове за зидария Част 4: Блокове за зидария от автоклавен газобетон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БДС EN 771-4/NА - Изисквания за блокове за зидария Част 4: Блокове за зидария от автоклавен газобетон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БДС EN 771-5/NА - Изисквания за блокове за зидария 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Част 5: Блокове за зидария от изкуствен камък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БДС EN 771-6/NА - Изисквания за блокове за зидария 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Част 6: Блокове за зидария от естествен камък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БДС EN 1745 – Зидария и продукти за зидария Методи за определяне на изчислителни топлинни стойности</w:t>
            </w:r>
          </w:p>
        </w:tc>
      </w:tr>
      <w:tr w:rsidR="002374EC" w:rsidRPr="004A0A2C">
        <w:trPr>
          <w:trHeight w:val="105"/>
          <w:tblCellSpacing w:w="28" w:type="dxa"/>
        </w:trPr>
        <w:tc>
          <w:tcPr>
            <w:tcW w:w="362" w:type="pct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4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sz w:val="20"/>
                <w:szCs w:val="20"/>
                <w:lang w:val="bg-BG"/>
              </w:rPr>
              <w:t>Покривни покрития, горно осветление, покривни прозорци и спомагателни продукти, покривни комплекти</w:t>
            </w:r>
          </w:p>
        </w:tc>
        <w:tc>
          <w:tcPr>
            <w:tcW w:w="670" w:type="pct"/>
          </w:tcPr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Стъкло и 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Рамки от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PVC или 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Алуминий</w:t>
            </w:r>
          </w:p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или дърво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2374EC" w:rsidRPr="004A0A2C" w:rsidRDefault="002374EC" w:rsidP="00237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A0A2C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БДС EN 1304/NA - Глинени покривни керемиди и приспособления</w:t>
            </w:r>
          </w:p>
          <w:p w:rsidR="002374EC" w:rsidRPr="004A0A2C" w:rsidRDefault="002374EC" w:rsidP="002374E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166309" w:rsidRPr="004A0A2C" w:rsidRDefault="00166309" w:rsidP="00166309">
      <w:pPr>
        <w:spacing w:after="0"/>
        <w:rPr>
          <w:rFonts w:ascii="Times New Roman" w:hAnsi="Times New Roman"/>
          <w:vanish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1"/>
        <w:gridCol w:w="5020"/>
        <w:gridCol w:w="1169"/>
        <w:gridCol w:w="2891"/>
        <w:gridCol w:w="230"/>
      </w:tblGrid>
      <w:tr w:rsidR="002374EC" w:rsidRPr="004A0A2C">
        <w:trPr>
          <w:trHeight w:val="300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4EC" w:rsidRPr="004A0A2C" w:rsidRDefault="002374EC" w:rsidP="002374E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dstrike/>
                <w:sz w:val="24"/>
                <w:szCs w:val="24"/>
                <w:lang w:val="bg-BG" w:eastAsia="bg-BG"/>
              </w:rPr>
            </w:pPr>
          </w:p>
        </w:tc>
      </w:tr>
      <w:tr w:rsidR="002374EC" w:rsidRPr="004A0A2C">
        <w:trPr>
          <w:trHeight w:val="930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Референтни стойности на коефициента на топлопреминаване за целите на Националната програма през сградните ограждащи конструкции и елементи на сгради, които се използват за сравнение </w:t>
            </w:r>
            <w:r w:rsidRPr="004A0A2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при изчисляване на годишния разход на енергия в жилищните сгради</w:t>
            </w:r>
          </w:p>
        </w:tc>
      </w:tr>
      <w:tr w:rsidR="002374EC" w:rsidRPr="004A0A2C">
        <w:trPr>
          <w:trHeight w:val="390"/>
          <w:jc w:val="center"/>
        </w:trPr>
        <w:tc>
          <w:tcPr>
            <w:tcW w:w="5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50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Видове ограждащи конструкции и елементи </w:t>
            </w:r>
          </w:p>
        </w:tc>
        <w:tc>
          <w:tcPr>
            <w:tcW w:w="42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U, W/m</w:t>
            </w:r>
            <w:r w:rsidRPr="004A0A2C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bg-BG" w:eastAsia="bg-BG"/>
              </w:rPr>
              <w:t>2</w:t>
            </w:r>
            <w:r w:rsidRPr="004A0A2C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K</w:t>
            </w:r>
          </w:p>
        </w:tc>
      </w:tr>
      <w:tr w:rsidR="002374EC" w:rsidRPr="004A0A2C">
        <w:trPr>
          <w:trHeight w:val="1605"/>
          <w:jc w:val="center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за сгради със среднообемна вътрешна температура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br/>
              <w:t>θ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i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≥ 15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0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</w:t>
            </w:r>
          </w:p>
        </w:tc>
      </w:tr>
      <w:tr w:rsidR="002374EC" w:rsidRPr="004A0A2C">
        <w:trPr>
          <w:trHeight w:val="360"/>
          <w:jc w:val="center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5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Външни стени, граничещи с външен въздух </w:t>
            </w:r>
          </w:p>
        </w:tc>
        <w:tc>
          <w:tcPr>
            <w:tcW w:w="42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0,28</w:t>
            </w:r>
          </w:p>
        </w:tc>
      </w:tr>
      <w:tr w:rsidR="002374EC" w:rsidRPr="004A0A2C">
        <w:trPr>
          <w:trHeight w:val="157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Стени на отопляемо пространство, граничещи с неотопляемо пространство, когато разликата между среднообемната температура на отопляемото и неотопляемото пространство е равна или по-голяма от 5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0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0,50</w:t>
            </w:r>
          </w:p>
        </w:tc>
      </w:tr>
      <w:tr w:rsidR="002374EC" w:rsidRPr="004A0A2C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Външни стени на отопляем подземен етаж, граничещи със земята 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0,60</w:t>
            </w:r>
          </w:p>
        </w:tc>
      </w:tr>
      <w:tr w:rsidR="002374EC" w:rsidRPr="004A0A2C">
        <w:trPr>
          <w:trHeight w:val="30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Подова плоча над неотопляем подземен етаж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0,50</w:t>
            </w:r>
          </w:p>
        </w:tc>
      </w:tr>
      <w:tr w:rsidR="002374EC" w:rsidRPr="004A0A2C">
        <w:trPr>
          <w:trHeight w:val="6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Под на отопляемо пространство, директно граничещ със земята в сграда без подземен етаж 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0,40</w:t>
            </w:r>
          </w:p>
        </w:tc>
      </w:tr>
      <w:tr w:rsidR="002374EC" w:rsidRPr="004A0A2C">
        <w:trPr>
          <w:trHeight w:val="5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Под на отопляем подземен етаж, граничещ със земята 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0,45</w:t>
            </w:r>
          </w:p>
        </w:tc>
      </w:tr>
      <w:tr w:rsidR="002374EC" w:rsidRPr="004A0A2C">
        <w:trPr>
          <w:trHeight w:val="8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Под на отопляемо пространство, граничещо с външен въздух, под над проходи или над други открити пространства, еркери 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0,25</w:t>
            </w:r>
          </w:p>
        </w:tc>
      </w:tr>
      <w:tr w:rsidR="002374EC" w:rsidRPr="004A0A2C">
        <w:trPr>
          <w:trHeight w:val="94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Стена, таван или под, граничещи с външен въздух или със земята, при вградено площно отопление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0,40</w:t>
            </w:r>
          </w:p>
        </w:tc>
      </w:tr>
      <w:tr w:rsidR="002374EC" w:rsidRPr="004A0A2C">
        <w:trPr>
          <w:trHeight w:val="14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>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Плосък покрив без въздушен слой или с въздушен слой с дебелина δ ≤ 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4A0A2C">
                <w:rPr>
                  <w:rFonts w:ascii="Times New Roman" w:eastAsia="Times New Roman" w:hAnsi="Times New Roman"/>
                  <w:sz w:val="20"/>
                  <w:szCs w:val="20"/>
                  <w:lang w:val="bg-BG" w:eastAsia="bg-BG"/>
                </w:rPr>
                <w:t>0,30 m</w:t>
              </w:r>
            </w:smartTag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; таван на наклонен или скатен покрив с отоплявано подпокривно пространство, предназначено за обитаване 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0,25</w:t>
            </w:r>
          </w:p>
        </w:tc>
      </w:tr>
      <w:tr w:rsidR="002374EC" w:rsidRPr="004A0A2C">
        <w:trPr>
          <w:trHeight w:val="19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Таванска плоча на неотопляем плосък покрив с въздушен слой с  дебелина 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br/>
              <w:t xml:space="preserve">δ &gt; 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4A0A2C">
                <w:rPr>
                  <w:rFonts w:ascii="Times New Roman" w:eastAsia="Times New Roman" w:hAnsi="Times New Roman"/>
                  <w:sz w:val="20"/>
                  <w:szCs w:val="20"/>
                  <w:lang w:val="bg-BG" w:eastAsia="bg-BG"/>
                </w:rPr>
                <w:t>0,30 m</w:t>
              </w:r>
            </w:smartTag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br/>
              <w:t xml:space="preserve">Таванска плоча на неотопляем, вентилиран или невентилиран наклонен/скатен покрив със или без вертикални ограждащи елементи в подпокривното пространство 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0,30</w:t>
            </w:r>
          </w:p>
        </w:tc>
      </w:tr>
      <w:tr w:rsidR="002374EC" w:rsidRPr="004A0A2C">
        <w:trPr>
          <w:trHeight w:val="555"/>
          <w:jc w:val="center"/>
        </w:trPr>
        <w:tc>
          <w:tcPr>
            <w:tcW w:w="5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11.</w:t>
            </w:r>
          </w:p>
        </w:tc>
        <w:tc>
          <w:tcPr>
            <w:tcW w:w="5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Външна врата, плътна, граничеща с външен въздух</w:t>
            </w:r>
          </w:p>
        </w:tc>
        <w:tc>
          <w:tcPr>
            <w:tcW w:w="42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2,2</w:t>
            </w:r>
          </w:p>
        </w:tc>
      </w:tr>
      <w:tr w:rsidR="002374EC" w:rsidRPr="004A0A2C">
        <w:trPr>
          <w:trHeight w:val="5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Врата, плътна, граничеща с неотопляемо пространство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3,5</w:t>
            </w: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315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2374EC" w:rsidRPr="004A0A2C" w:rsidRDefault="002374EC" w:rsidP="002374E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960"/>
          <w:jc w:val="center"/>
        </w:trPr>
        <w:tc>
          <w:tcPr>
            <w:tcW w:w="96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Референтни стойности на коефициента на топлопреминаване за целите на Националната програма през прозрачни ограждащи конструкции (прозорци и врати) за  жилищни и нежилищни сгради, които се използват за сравнение при изчисляване на годишния разход на енергия в сградите</w:t>
            </w: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1245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6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Вид на сглобения елемент - завършена прозоречна система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U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w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, W/m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2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K</w:t>
            </w: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62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D5F" w:rsidRPr="004A0A2C" w:rsidRDefault="002374EC" w:rsidP="00A45D5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Външни прозорци, остъклени врати и витрини с крила на вертикална и хоризонтална ос на въртене, с рамка от екструдиран поливинилхлорид (PVC) с три и повече кухи камери; покривни прозорци за всеки тип отваряемост с рамка от PVC</w:t>
            </w:r>
            <w:r w:rsidR="00826B54"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.</w:t>
            </w:r>
            <w:r w:rsidR="00A45D5F" w:rsidRPr="004A0A2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45D5F" w:rsidRPr="004A0A2C" w:rsidRDefault="00A45D5F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A45D5F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1,7</w:t>
            </w: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77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62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Външни прозорци, остъклени врати и витрини с крила на вертикална и хоризонтална ос на въртене, с рамка от дърво/покривни прозорци за всеки тип отваряемост с рамка от дърво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1,6/1,8</w:t>
            </w: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396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70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62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Външни прозорци, остъклени врати и витрини с крила на вертикална и хоризонтална ос на въртене, с рамка от алуминий с прекъснат топлинен мост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2,0</w:t>
            </w: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396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28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0" w:type="dxa"/>
          <w:trHeight w:val="57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6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Окачени фасади/окачени фасади с повишени изисквания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4EC" w:rsidRPr="004A0A2C" w:rsidRDefault="002374EC" w:rsidP="002374E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1,75/1,9</w:t>
            </w:r>
          </w:p>
        </w:tc>
      </w:tr>
    </w:tbl>
    <w:p w:rsidR="00826B54" w:rsidRPr="004A0A2C" w:rsidRDefault="00826B54" w:rsidP="00826B5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826B54" w:rsidRPr="004A0A2C" w:rsidRDefault="00826B54" w:rsidP="00826B54">
      <w:pPr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4A0A2C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 xml:space="preserve">Забележка: </w:t>
      </w:r>
      <w:r w:rsidRPr="004A0A2C">
        <w:rPr>
          <w:rFonts w:ascii="Times New Roman" w:hAnsi="Times New Roman"/>
          <w:i/>
          <w:lang w:val="ru-RU"/>
        </w:rPr>
        <w:t xml:space="preserve">Към дограмата с рамка от алуминиеви профили с прекъснат топлинен мост, а именно – новата референтна стойност на коефициента на топлопреминаване </w:t>
      </w:r>
      <w:r w:rsidRPr="004A0A2C">
        <w:rPr>
          <w:rFonts w:ascii="Times New Roman" w:hAnsi="Times New Roman"/>
          <w:b/>
          <w:i/>
        </w:rPr>
        <w:t>U</w:t>
      </w:r>
      <w:r w:rsidR="001B3AF6" w:rsidRPr="004A0A2C">
        <w:rPr>
          <w:rFonts w:ascii="Times New Roman" w:hAnsi="Times New Roman"/>
          <w:b/>
          <w:i/>
          <w:lang w:val="ru-RU"/>
        </w:rPr>
        <w:t>≥</w:t>
      </w:r>
      <w:r w:rsidRPr="004A0A2C">
        <w:rPr>
          <w:rFonts w:ascii="Times New Roman" w:hAnsi="Times New Roman"/>
          <w:b/>
          <w:i/>
          <w:lang w:val="ru-RU"/>
        </w:rPr>
        <w:t xml:space="preserve">1,7 </w:t>
      </w:r>
      <w:r w:rsidRPr="004A0A2C">
        <w:rPr>
          <w:rFonts w:ascii="Times New Roman" w:hAnsi="Times New Roman"/>
          <w:b/>
          <w:i/>
        </w:rPr>
        <w:t>W</w:t>
      </w:r>
      <w:r w:rsidRPr="004A0A2C">
        <w:rPr>
          <w:rFonts w:ascii="Times New Roman" w:hAnsi="Times New Roman"/>
          <w:b/>
          <w:i/>
          <w:lang w:val="ru-RU"/>
        </w:rPr>
        <w:t>/</w:t>
      </w:r>
      <w:r w:rsidRPr="004A0A2C">
        <w:rPr>
          <w:rFonts w:ascii="Times New Roman" w:hAnsi="Times New Roman"/>
          <w:b/>
          <w:i/>
        </w:rPr>
        <w:t>m</w:t>
      </w:r>
      <w:r w:rsidRPr="004A0A2C">
        <w:rPr>
          <w:rFonts w:ascii="Times New Roman" w:hAnsi="Times New Roman"/>
          <w:b/>
          <w:i/>
          <w:vertAlign w:val="superscript"/>
          <w:lang w:val="ru-RU"/>
        </w:rPr>
        <w:t>2</w:t>
      </w:r>
      <w:r w:rsidRPr="004A0A2C">
        <w:rPr>
          <w:rFonts w:ascii="Times New Roman" w:hAnsi="Times New Roman"/>
          <w:b/>
          <w:i/>
        </w:rPr>
        <w:t>K</w:t>
      </w:r>
      <w:r w:rsidRPr="004A0A2C">
        <w:rPr>
          <w:rFonts w:ascii="Times New Roman" w:hAnsi="Times New Roman"/>
          <w:b/>
          <w:i/>
          <w:lang w:val="ru-RU"/>
        </w:rPr>
        <w:t xml:space="preserve">.  </w:t>
      </w:r>
    </w:p>
    <w:p w:rsidR="002374EC" w:rsidRPr="004A0A2C" w:rsidRDefault="002374EC" w:rsidP="002374EC">
      <w:pPr>
        <w:spacing w:after="120" w:line="240" w:lineRule="auto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2374EC" w:rsidRPr="004A0A2C" w:rsidRDefault="00C975CD" w:rsidP="00F53807">
      <w:pPr>
        <w:pStyle w:val="ListParagraph"/>
        <w:spacing w:after="120"/>
        <w:ind w:left="0"/>
        <w:jc w:val="both"/>
        <w:rPr>
          <w:b/>
          <w:bCs/>
        </w:rPr>
      </w:pPr>
      <w:r w:rsidRPr="004A0A2C">
        <w:rPr>
          <w:b/>
          <w:bCs/>
        </w:rPr>
        <w:lastRenderedPageBreak/>
        <w:t>5</w:t>
      </w:r>
      <w:r w:rsidR="00F53807" w:rsidRPr="004A0A2C">
        <w:rPr>
          <w:b/>
          <w:bCs/>
        </w:rPr>
        <w:t>.</w:t>
      </w:r>
      <w:r w:rsidR="002374EC" w:rsidRPr="004A0A2C">
        <w:rPr>
          <w:b/>
          <w:bCs/>
        </w:rPr>
        <w:t xml:space="preserve"> Технически изисквания към топлофиз</w:t>
      </w:r>
      <w:r w:rsidR="002932EE" w:rsidRPr="004A0A2C">
        <w:rPr>
          <w:b/>
          <w:bCs/>
        </w:rPr>
        <w:t>ични характеристики на продуктите на строежа</w:t>
      </w:r>
      <w:r w:rsidR="002374EC" w:rsidRPr="004A0A2C">
        <w:rPr>
          <w:b/>
          <w:bCs/>
        </w:rPr>
        <w:t xml:space="preserve"> за топлоизолация от: полистироли - експандиран (EPS) и екструдиран (XPS) и вати, както и топлоизолационни комплекти (системи) с такива продукти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Препоръчва се техническите спецификации за строителство да се съставят за топлоизолационни комплекти стандартна или висока технология, която включва най-малко следните елементи:</w:t>
      </w:r>
    </w:p>
    <w:p w:rsidR="002374EC" w:rsidRPr="004A0A2C" w:rsidRDefault="00A45D5F" w:rsidP="002374E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2374EC"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табилизиран фасаден експандиран полистирол, с коефициент на топлопроводност </w:t>
      </w:r>
      <w:r w:rsidR="002374EC"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λ ≤ 0,035 W/mK, </w:t>
      </w:r>
      <w:r w:rsidR="002374EC"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със съответна плътност при определени условия на изпитване. </w:t>
      </w:r>
    </w:p>
    <w:p w:rsidR="002374EC" w:rsidRPr="004A0A2C" w:rsidRDefault="002374EC" w:rsidP="002374EC">
      <w:pPr>
        <w:pStyle w:val="ListParagraph"/>
        <w:spacing w:after="120"/>
        <w:ind w:left="2160"/>
        <w:jc w:val="both"/>
      </w:pPr>
      <w:r w:rsidRPr="004A0A2C">
        <w:t>или</w:t>
      </w:r>
    </w:p>
    <w:p w:rsidR="002374EC" w:rsidRPr="004A0A2C" w:rsidRDefault="00A45D5F" w:rsidP="002374E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2374EC"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табилизиран фасаден екструдиран полистирол, с коефициент на топлопроводност </w:t>
      </w:r>
      <w:r w:rsidR="002374EC"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λ ≤ 0,033 W/m.K, </w:t>
      </w:r>
      <w:r w:rsidR="002374EC" w:rsidRPr="004A0A2C">
        <w:rPr>
          <w:rFonts w:ascii="Times New Roman" w:eastAsia="Times New Roman" w:hAnsi="Times New Roman"/>
          <w:sz w:val="24"/>
          <w:szCs w:val="24"/>
          <w:lang w:val="bg-BG"/>
        </w:rPr>
        <w:t>със съответна плътностпри определени условия на изпитване.</w:t>
      </w:r>
    </w:p>
    <w:p w:rsidR="002374EC" w:rsidRPr="004A0A2C" w:rsidRDefault="002374EC" w:rsidP="002374EC">
      <w:pPr>
        <w:pStyle w:val="ListParagraph"/>
        <w:spacing w:after="120"/>
        <w:ind w:left="2160"/>
        <w:jc w:val="both"/>
      </w:pPr>
      <w:r w:rsidRPr="004A0A2C">
        <w:t>или</w:t>
      </w:r>
    </w:p>
    <w:p w:rsidR="002374EC" w:rsidRPr="004A0A2C" w:rsidRDefault="002374EC" w:rsidP="002374E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Фасадни плоскости от минерална вата - </w:t>
      </w: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λ ≤ 0,040 W/m.K,</w:t>
      </w:r>
      <w:r w:rsidRPr="004A0A2C">
        <w:rPr>
          <w:rFonts w:ascii="Times New Roman" w:hAnsi="Times New Roman"/>
          <w:sz w:val="24"/>
          <w:szCs w:val="24"/>
          <w:lang w:val="bg-BG"/>
        </w:rPr>
        <w:t xml:space="preserve"> със съответна плътност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при определени условия на изпитване.</w:t>
      </w:r>
    </w:p>
    <w:p w:rsidR="002374EC" w:rsidRPr="004A0A2C" w:rsidRDefault="002374EC" w:rsidP="002374EC">
      <w:pPr>
        <w:spacing w:after="12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или</w:t>
      </w:r>
    </w:p>
    <w:p w:rsidR="002374EC" w:rsidRPr="004A0A2C" w:rsidRDefault="002374EC" w:rsidP="002374EC">
      <w:pPr>
        <w:pStyle w:val="ListParagraph"/>
        <w:numPr>
          <w:ilvl w:val="0"/>
          <w:numId w:val="6"/>
        </w:numPr>
        <w:spacing w:after="120"/>
        <w:jc w:val="both"/>
        <w:rPr>
          <w:lang w:eastAsia="en-US"/>
        </w:rPr>
      </w:pPr>
      <w:r w:rsidRPr="004A0A2C">
        <w:t xml:space="preserve">Топлоизолационни продукти от пенополиуретан с плътност, съответстваща на </w:t>
      </w:r>
      <w:r w:rsidRPr="004A0A2C">
        <w:rPr>
          <w:lang w:eastAsia="en-US"/>
        </w:rPr>
        <w:t xml:space="preserve">- коефициент на топлопроводност  </w:t>
      </w:r>
      <w:r w:rsidRPr="004A0A2C">
        <w:rPr>
          <w:b/>
          <w:lang w:eastAsia="en-US"/>
        </w:rPr>
        <w:t>λ ≤ 0,029 W/m.K</w:t>
      </w:r>
      <w:r w:rsidRPr="004A0A2C">
        <w:rPr>
          <w:lang w:eastAsia="en-US"/>
        </w:rPr>
        <w:t>при определени условия на изпитване.</w:t>
      </w:r>
    </w:p>
    <w:p w:rsidR="002374EC" w:rsidRPr="004A0A2C" w:rsidRDefault="002374EC" w:rsidP="002374EC">
      <w:pPr>
        <w:pStyle w:val="ListParagraph"/>
        <w:numPr>
          <w:ilvl w:val="0"/>
          <w:numId w:val="6"/>
        </w:numPr>
        <w:spacing w:after="120"/>
        <w:jc w:val="both"/>
        <w:rPr>
          <w:lang w:eastAsia="en-US"/>
        </w:rPr>
      </w:pPr>
      <w:r w:rsidRPr="004A0A2C">
        <w:rPr>
          <w:lang w:eastAsia="en-US"/>
        </w:rPr>
        <w:t>Минерални топлоизолационни плочи</w:t>
      </w:r>
      <w:r w:rsidRPr="004A0A2C">
        <w:t xml:space="preserve"> - </w:t>
      </w:r>
      <w:r w:rsidRPr="004A0A2C">
        <w:rPr>
          <w:b/>
          <w:lang w:eastAsia="en-US"/>
        </w:rPr>
        <w:t>λ ≤ 0,045 W/m.K,</w:t>
      </w:r>
      <w:r w:rsidRPr="004A0A2C">
        <w:rPr>
          <w:lang w:eastAsia="en-US"/>
        </w:rPr>
        <w:t xml:space="preserve"> при определени условия на изпитване.</w:t>
      </w:r>
    </w:p>
    <w:p w:rsidR="002374EC" w:rsidRPr="004A0A2C" w:rsidRDefault="002374EC" w:rsidP="002374EC">
      <w:pPr>
        <w:pStyle w:val="ListParagraph"/>
        <w:spacing w:after="120"/>
        <w:rPr>
          <w:lang w:eastAsia="en-US"/>
        </w:rPr>
      </w:pPr>
    </w:p>
    <w:p w:rsidR="002374EC" w:rsidRPr="004A0A2C" w:rsidRDefault="002374EC" w:rsidP="002374EC">
      <w:pPr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i/>
          <w:sz w:val="24"/>
          <w:szCs w:val="24"/>
          <w:lang w:val="bg-BG"/>
        </w:rPr>
        <w:t>За EPS и XPS се препоръчва да се декларират също: деформация при определени условия на натоварване на натиск и температурно въздействие; якост на опън перпендикулярно на повърхностите; напрежение на натиск при 10 % деформация; продължително водопоглъщане чрез дифузия; мразоустойчивост; дифузия и пренасяне на водни пари; динамичнa коравина; реакция на огън; клас на горимост – по норми за съответното предназначение в сградата.</w:t>
      </w:r>
    </w:p>
    <w:p w:rsidR="002374EC" w:rsidRPr="004A0A2C" w:rsidRDefault="002374EC" w:rsidP="002374EC">
      <w:pPr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i/>
          <w:sz w:val="24"/>
          <w:szCs w:val="24"/>
          <w:lang w:val="bg-BG"/>
        </w:rPr>
        <w:t>За вати се препоръчва да се декларират също: дифузия на водни пари; стабилност на размерите при определена температура и при определена влажност на въздуха; динамична якост; свиваемост; якост на опън перпендикулярно на лицевата част; клас на горимост – А1.</w:t>
      </w:r>
    </w:p>
    <w:p w:rsidR="002374EC" w:rsidRPr="004A0A2C" w:rsidRDefault="002374EC" w:rsidP="002374EC">
      <w:pPr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i/>
          <w:sz w:val="24"/>
          <w:szCs w:val="24"/>
          <w:lang w:val="bg-BG"/>
        </w:rPr>
        <w:t>Топлоизолационните 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плътност.</w:t>
      </w:r>
    </w:p>
    <w:p w:rsidR="002374EC" w:rsidRPr="004A0A2C" w:rsidRDefault="002374EC" w:rsidP="002374EC">
      <w:pPr>
        <w:pStyle w:val="ListParagraph"/>
        <w:numPr>
          <w:ilvl w:val="0"/>
          <w:numId w:val="6"/>
        </w:numPr>
        <w:spacing w:after="120"/>
        <w:jc w:val="both"/>
      </w:pPr>
      <w:r w:rsidRPr="004A0A2C">
        <w:t>еластична лепилна прахообразна смес за лепене на топлоизолационни плочи, съвместима с конкретната топлоизолационна система и основния топлоизолационен продукт;</w:t>
      </w:r>
    </w:p>
    <w:p w:rsidR="002374EC" w:rsidRPr="004A0A2C" w:rsidRDefault="002374EC" w:rsidP="002374EC">
      <w:pPr>
        <w:pStyle w:val="ListParagraph"/>
        <w:numPr>
          <w:ilvl w:val="0"/>
          <w:numId w:val="6"/>
        </w:numPr>
        <w:spacing w:after="120"/>
        <w:jc w:val="both"/>
      </w:pPr>
      <w:r w:rsidRPr="004A0A2C">
        <w:t>еластична лепилно-шпакловъчна прахообразна смес за лепене и шпакловане на топлоизолационни плочи от EPS, за шпакловане на основи от цимент, сглобяеми елементи от бетон, мазилки на циментова основа, термоизолиращи мазилки, за декоративни детайли;</w:t>
      </w:r>
    </w:p>
    <w:p w:rsidR="002374EC" w:rsidRPr="004A0A2C" w:rsidRDefault="002374EC" w:rsidP="002374EC">
      <w:pPr>
        <w:pStyle w:val="ListParagraph"/>
        <w:numPr>
          <w:ilvl w:val="0"/>
          <w:numId w:val="6"/>
        </w:numPr>
        <w:spacing w:after="120"/>
        <w:jc w:val="both"/>
      </w:pPr>
      <w:r w:rsidRPr="004A0A2C">
        <w:t>армираща стъклотекстилна мрежа с алкалоустойчиво покритие за вграждане в топлоизолационната система, съвместима с предлаганата топлоизолационна система;</w:t>
      </w:r>
    </w:p>
    <w:p w:rsidR="002374EC" w:rsidRPr="004A0A2C" w:rsidRDefault="002374EC" w:rsidP="002374EC">
      <w:pPr>
        <w:pStyle w:val="ListParagraph"/>
        <w:numPr>
          <w:ilvl w:val="0"/>
          <w:numId w:val="6"/>
        </w:numPr>
        <w:spacing w:after="120"/>
        <w:jc w:val="both"/>
      </w:pPr>
      <w:r w:rsidRPr="004A0A2C">
        <w:lastRenderedPageBreak/>
        <w:t>импрегнатор-заздравител на дисперсна основа, предназначен за основи, които ще бъдат третирани с продукти от групата на акрилни, силикатни или силиконови продукти според конкретното предназначение;</w:t>
      </w:r>
    </w:p>
    <w:p w:rsidR="002374EC" w:rsidRPr="004A0A2C" w:rsidRDefault="002374EC" w:rsidP="002374EC">
      <w:pPr>
        <w:pStyle w:val="ListParagraph"/>
        <w:numPr>
          <w:ilvl w:val="0"/>
          <w:numId w:val="6"/>
        </w:numPr>
        <w:spacing w:after="120"/>
        <w:jc w:val="both"/>
      </w:pPr>
      <w:r w:rsidRPr="004A0A2C">
        <w:t>отлично защитно и декоративно покритие за външни и вътрешни повърхности, комбинация от акрилен и силиконов полимер, подбрани инертни материали с различен гранулометричен състав, добавки, подпомагащи по-бързото съхнене на продукта, както и оцветители с висока устойчивост към UV лъчи и лоши климатични условия, съдържащи специални антибактериални добавки срещу мухъл и лишеи. Паропропусклива и водоотблъскваща мазилка съгласно архитектурен проект на сградата.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Дебелината на топлинната изолация от съответния вид </w:t>
      </w:r>
      <w:r w:rsidRPr="004A0A2C">
        <w:rPr>
          <w:rFonts w:ascii="Times New Roman" w:eastAsia="Times New Roman" w:hAnsi="Times New Roman"/>
          <w:i/>
          <w:sz w:val="24"/>
          <w:szCs w:val="24"/>
          <w:lang w:val="bg-BG"/>
        </w:rPr>
        <w:t>се оразмерява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 в техническия проект на съответната сграда в част „Енергийна ефективност“ и се съобразява с техническите параметри, заложени за съответната енергоспестяваща мярка в енергийното обследване.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Посочените по-горе топлоизолационни продукти и техническите им характеристики са препоръчителни и не изчерпват приложението на други продукти, които отговарят на приложимите нормативни изисквания и стандарти и имат енергоспестяващ ефект.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Изчисленията, направени в част „Енергийна ефективност“ на инвестиционния проект са задължителни за спазване от строителя при изготвяне на офертата за изпълнение на топлинна изолация на сградата. Изпълнението на архитектурно-строителните детайли, разработени в част архитектурна са също задължителни за строителя, като корекции на архитектурно – строителните детайли се извършват съгласно предвидения законов ред.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сградата, които трябва да се постигнат с полагане на топлоизолационна система за съответното предназначение в сградата, като тези коефициенти също се взимат от инвестиционния проект, където на по-ранен етап са съобразени и съгласувани с резултатите от обследването за енергийна ефективност. </w:t>
      </w:r>
    </w:p>
    <w:p w:rsidR="002374EC" w:rsidRPr="004A0A2C" w:rsidRDefault="00C975CD" w:rsidP="00C975CD">
      <w:pPr>
        <w:pStyle w:val="ListParagraph"/>
        <w:spacing w:after="120"/>
        <w:ind w:left="360"/>
        <w:jc w:val="both"/>
        <w:rPr>
          <w:b/>
        </w:rPr>
      </w:pPr>
      <w:r w:rsidRPr="004A0A2C">
        <w:rPr>
          <w:b/>
        </w:rPr>
        <w:t>6.</w:t>
      </w:r>
      <w:r w:rsidR="002374EC" w:rsidRPr="004A0A2C">
        <w:rPr>
          <w:b/>
        </w:rPr>
        <w:t xml:space="preserve">Технически изисквания към хидроизолации и хидроизолационни системи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Проектните решения на хидроизолациите и на хидроизолационните системи на сгради се представя в част архитектурна на инвестиционния проект.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Физико-механичните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№ 2 от </w:t>
      </w:r>
      <w:smartTag w:uri="urn:schemas-microsoft-com:office:smarttags" w:element="metricconverter">
        <w:smartTagPr>
          <w:attr w:name="ProductID" w:val="2008 г"/>
        </w:smartTagPr>
        <w:r w:rsidRPr="004A0A2C">
          <w:rPr>
            <w:rFonts w:ascii="Times New Roman" w:eastAsia="Times New Roman" w:hAnsi="Times New Roman"/>
            <w:sz w:val="24"/>
            <w:szCs w:val="24"/>
            <w:lang w:val="bg-BG"/>
          </w:rPr>
          <w:t>2008 г</w:t>
        </w:r>
      </w:smartTag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. в зависимост от вида на продуктите и предвидените им функции и предназначение.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Видовете строителни продукти,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физико-механични характеристики, са съответно на база на: 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 xml:space="preserve">огъваеми битумни мушами; 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 xml:space="preserve">пластмасови и каучукови мушами; 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битумнополимерни състави;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течни полимерни състави;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циментнополимерни състави.</w:t>
      </w:r>
    </w:p>
    <w:p w:rsidR="002374EC" w:rsidRPr="004A0A2C" w:rsidRDefault="002374EC" w:rsidP="002374E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Видът на хидроизолацията и на хидроизолационната система на плоски покриви на сгради и съоръжения се избира в зависимост от: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техническите характеристики и технологията за изпълнение на строежа;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lastRenderedPageBreak/>
        <w:t>вида на строежа: ново строителство, основен ремонт, реконструкция, основно обновяване или преустройство;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вида на основата, върху която ще се изпълнява хидроизолацията (бетон, циментно-пясъчен разтвор, торкретбетон, дървесина, метал, зидария и др.);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компонентите (слоевете) на хидроизолационната система;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вида и начина на водоотвеждането;</w:t>
      </w:r>
    </w:p>
    <w:p w:rsidR="002374EC" w:rsidRPr="004A0A2C" w:rsidRDefault="002374EC" w:rsidP="002374EC">
      <w:pPr>
        <w:pStyle w:val="ListParagraph"/>
        <w:numPr>
          <w:ilvl w:val="0"/>
          <w:numId w:val="8"/>
        </w:numPr>
        <w:spacing w:after="120"/>
        <w:jc w:val="both"/>
      </w:pPr>
      <w:r w:rsidRPr="004A0A2C">
        <w:t>използваемостта на покрива.</w:t>
      </w:r>
    </w:p>
    <w:p w:rsidR="002374EC" w:rsidRPr="004A0A2C" w:rsidRDefault="00C975CD" w:rsidP="00C975CD">
      <w:pPr>
        <w:pStyle w:val="ListParagraph"/>
        <w:spacing w:after="120"/>
        <w:ind w:left="360"/>
        <w:jc w:val="both"/>
        <w:rPr>
          <w:b/>
        </w:rPr>
      </w:pPr>
      <w:r w:rsidRPr="004A0A2C">
        <w:rPr>
          <w:b/>
        </w:rPr>
        <w:t>7.</w:t>
      </w:r>
      <w:r w:rsidR="002374EC" w:rsidRPr="004A0A2C">
        <w:rPr>
          <w:b/>
        </w:rPr>
        <w:t>Технически изисквания към доставени на строежа комплекти от сглобени прозорци и врати, които ще се монтират върху фасадите на сградите.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В съответствие с </w:t>
      </w:r>
      <w:r w:rsidRPr="004A0A2C">
        <w:rPr>
          <w:rFonts w:ascii="Times New Roman" w:eastAsia="Times New Roman" w:hAnsi="Times New Roman"/>
          <w:i/>
          <w:sz w:val="24"/>
          <w:szCs w:val="24"/>
          <w:lang w:val="bg-BG"/>
        </w:rPr>
        <w:t>Наредба № 7 за енергийна ефективност, топлосъхранение и икономия на енергия в сгради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>,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14351-1:2006 и БДС  EN ISO 10077-1:2006, която съдържа най-малко следната информация за: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коефициента на топлопреминаване на сглобения образец (Uw) в W/m</w:t>
      </w:r>
      <w:r w:rsidRPr="004A0A2C">
        <w:rPr>
          <w:vertAlign w:val="superscript"/>
        </w:rPr>
        <w:t>2</w:t>
      </w:r>
      <w:r w:rsidRPr="004A0A2C">
        <w:t>K;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коефициента на топлопреминаване на остъкляването (Ug) в W/m</w:t>
      </w:r>
      <w:r w:rsidRPr="004A0A2C">
        <w:rPr>
          <w:vertAlign w:val="superscript"/>
        </w:rPr>
        <w:t>2</w:t>
      </w:r>
      <w:r w:rsidRPr="004A0A2C">
        <w:t>K;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коефициента на топлопреминаване на рамката (Uf) в W/m</w:t>
      </w:r>
      <w:r w:rsidRPr="004A0A2C">
        <w:rPr>
          <w:vertAlign w:val="superscript"/>
        </w:rPr>
        <w:t>2</w:t>
      </w:r>
      <w:r w:rsidRPr="004A0A2C">
        <w:t>K;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коефициента на енергопреминаване на остъкляването (g);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радиационните характеристики - степен на светлопропускливост и спектрална характеристика;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въздухопропускливостта на образеца;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водонепропускливостта;</w:t>
      </w:r>
    </w:p>
    <w:p w:rsidR="002374EC" w:rsidRPr="004A0A2C" w:rsidRDefault="002374EC" w:rsidP="002374EC">
      <w:pPr>
        <w:pStyle w:val="ListParagraph"/>
        <w:numPr>
          <w:ilvl w:val="0"/>
          <w:numId w:val="7"/>
        </w:numPr>
        <w:spacing w:after="120"/>
        <w:jc w:val="both"/>
      </w:pPr>
      <w:r w:rsidRPr="004A0A2C">
        <w:t>защитата от шум.</w:t>
      </w:r>
    </w:p>
    <w:p w:rsidR="00826B54" w:rsidRPr="004A0A2C" w:rsidRDefault="00826B54" w:rsidP="00826B54">
      <w:pPr>
        <w:pStyle w:val="ListParagraph"/>
        <w:spacing w:after="120"/>
        <w:ind w:left="0"/>
        <w:jc w:val="both"/>
      </w:pPr>
      <w:r w:rsidRPr="004A0A2C">
        <w:t xml:space="preserve">Референтната стойност на коефициента на топлопреминаване през сглобен образец на прозорец с рамката от алуминиеви профили трябва да е </w:t>
      </w:r>
      <w:r w:rsidR="001B3AF6" w:rsidRPr="004A0A2C">
        <w:rPr>
          <w:b/>
          <w:i/>
          <w:lang w:val="ru-RU"/>
        </w:rPr>
        <w:t>≥</w:t>
      </w:r>
      <w:r w:rsidRPr="004A0A2C">
        <w:rPr>
          <w:b/>
        </w:rPr>
        <w:t xml:space="preserve">1,7 </w:t>
      </w:r>
      <w:r w:rsidRPr="004A0A2C">
        <w:rPr>
          <w:b/>
          <w:lang w:val="en-US"/>
        </w:rPr>
        <w:t>W</w:t>
      </w:r>
      <w:r w:rsidRPr="004A0A2C">
        <w:rPr>
          <w:b/>
          <w:lang w:val="ru-RU"/>
        </w:rPr>
        <w:t>/</w:t>
      </w:r>
      <w:r w:rsidRPr="004A0A2C">
        <w:rPr>
          <w:b/>
          <w:lang w:val="en-US"/>
        </w:rPr>
        <w:t>m</w:t>
      </w:r>
      <w:r w:rsidRPr="004A0A2C">
        <w:rPr>
          <w:b/>
          <w:vertAlign w:val="superscript"/>
          <w:lang w:val="ru-RU"/>
        </w:rPr>
        <w:t>2</w:t>
      </w:r>
      <w:r w:rsidRPr="004A0A2C">
        <w:rPr>
          <w:b/>
          <w:lang w:val="en-US"/>
        </w:rPr>
        <w:t>K</w:t>
      </w:r>
      <w:r w:rsidRPr="004A0A2C">
        <w:rPr>
          <w:b/>
          <w:lang w:val="ru-RU"/>
        </w:rPr>
        <w:t xml:space="preserve"> </w:t>
      </w:r>
      <w:r w:rsidRPr="004A0A2C">
        <w:t>в зависимост най-вече от вида на стъклопакета (двоен или троен).</w:t>
      </w:r>
    </w:p>
    <w:p w:rsidR="002374EC" w:rsidRPr="004A0A2C" w:rsidRDefault="00C975CD" w:rsidP="00C975CD">
      <w:pPr>
        <w:pStyle w:val="ListParagraph"/>
        <w:spacing w:after="120"/>
        <w:ind w:left="360"/>
        <w:jc w:val="both"/>
        <w:rPr>
          <w:b/>
        </w:rPr>
      </w:pPr>
      <w:r w:rsidRPr="004A0A2C">
        <w:rPr>
          <w:b/>
        </w:rPr>
        <w:t>8.</w:t>
      </w:r>
      <w:r w:rsidR="002374EC" w:rsidRPr="004A0A2C">
        <w:rPr>
          <w:b/>
        </w:rPr>
        <w:t>Технически изисквания към енергийните характеристики за слънчеви колектори за системи, оползотворяващи слънчева енергия за загряване на вода за битови нужди в сградата.</w:t>
      </w:r>
    </w:p>
    <w:p w:rsidR="002374EC" w:rsidRPr="004A0A2C" w:rsidRDefault="002374EC" w:rsidP="002374EC">
      <w:pPr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С отчитане нивото на технологиите препоръчителни за техническите спецификации са следните изисквания:</w:t>
      </w:r>
    </w:p>
    <w:p w:rsidR="002374EC" w:rsidRPr="004A0A2C" w:rsidRDefault="00C975CD" w:rsidP="002374EC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b/>
          <w:sz w:val="24"/>
          <w:szCs w:val="24"/>
          <w:lang w:val="bg-BG" w:eastAsia="ar-SA"/>
        </w:rPr>
        <w:t>8</w:t>
      </w:r>
      <w:r w:rsidR="002374EC" w:rsidRPr="004A0A2C">
        <w:rPr>
          <w:rFonts w:ascii="Times New Roman" w:eastAsia="MS Mincho" w:hAnsi="Times New Roman"/>
          <w:b/>
          <w:sz w:val="24"/>
          <w:szCs w:val="24"/>
          <w:lang w:val="bg-BG" w:eastAsia="ar-SA"/>
        </w:rPr>
        <w:t>.1. Плоски слънчеви колектори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Коефициент на абсорбция (α) &gt;/= 90%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Коефициент на емисия (ε ) &lt;/= 5%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Обобщен коефициент на топлинни загуби ( U</w:t>
      </w:r>
      <w:r w:rsidRPr="004A0A2C">
        <w:rPr>
          <w:rFonts w:ascii="Times New Roman" w:eastAsia="MS Mincho" w:hAnsi="Times New Roman"/>
          <w:sz w:val="24"/>
          <w:szCs w:val="24"/>
          <w:vertAlign w:val="subscript"/>
          <w:lang w:val="bg-BG" w:eastAsia="ar-SA"/>
        </w:rPr>
        <w:t>L</w:t>
      </w: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&lt;/= 5 Вт/м</w:t>
      </w:r>
      <w:r w:rsidRPr="004A0A2C">
        <w:rPr>
          <w:rFonts w:ascii="Times New Roman" w:eastAsia="MS Mincho" w:hAnsi="Times New Roman"/>
          <w:sz w:val="24"/>
          <w:szCs w:val="24"/>
          <w:vertAlign w:val="superscript"/>
          <w:lang w:val="bg-BG" w:eastAsia="ar-SA"/>
        </w:rPr>
        <w:t>2</w:t>
      </w: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К )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Използваната прозрачна изолация да е от закалено стъкло с ниско съдържание на желязо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 xml:space="preserve">Работно налягане на колектора – 6 бара </w:t>
      </w:r>
    </w:p>
    <w:p w:rsidR="002374EC" w:rsidRPr="004A0A2C" w:rsidRDefault="00C975CD" w:rsidP="002374EC">
      <w:pPr>
        <w:suppressAutoHyphens/>
        <w:autoSpaceDE w:val="0"/>
        <w:spacing w:after="120" w:line="240" w:lineRule="auto"/>
        <w:rPr>
          <w:rFonts w:ascii="Times New Roman" w:eastAsia="MS Mincho" w:hAnsi="Times New Roman"/>
          <w:b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b/>
          <w:sz w:val="24"/>
          <w:szCs w:val="24"/>
          <w:lang w:val="bg-BG" w:eastAsia="ar-SA"/>
        </w:rPr>
        <w:t>8</w:t>
      </w:r>
      <w:r w:rsidR="002374EC" w:rsidRPr="004A0A2C">
        <w:rPr>
          <w:rFonts w:ascii="Times New Roman" w:eastAsia="MS Mincho" w:hAnsi="Times New Roman"/>
          <w:b/>
          <w:sz w:val="24"/>
          <w:szCs w:val="24"/>
          <w:lang w:val="bg-BG" w:eastAsia="ar-SA"/>
        </w:rPr>
        <w:t>.2. Вакуумно тръбни слънчеви колектори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Коефициент на абсорбция (α) &gt;/= 90%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lastRenderedPageBreak/>
        <w:t>Коефициент на емисия (ε ) &lt;/= 5%</w:t>
      </w:r>
    </w:p>
    <w:p w:rsidR="002374EC" w:rsidRPr="004A0A2C" w:rsidRDefault="002374EC" w:rsidP="002374EC">
      <w:pPr>
        <w:numPr>
          <w:ilvl w:val="0"/>
          <w:numId w:val="5"/>
        </w:numPr>
        <w:suppressAutoHyphens/>
        <w:autoSpaceDE w:val="0"/>
        <w:spacing w:after="120" w:line="240" w:lineRule="auto"/>
        <w:rPr>
          <w:rFonts w:ascii="Times New Roman" w:eastAsia="MS Mincho" w:hAnsi="Times New Roman"/>
          <w:sz w:val="24"/>
          <w:szCs w:val="24"/>
          <w:lang w:val="bg-BG" w:eastAsia="ar-SA"/>
        </w:rPr>
      </w:pP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Обобщен коефициент на топлинни загуби ( U</w:t>
      </w:r>
      <w:r w:rsidRPr="004A0A2C">
        <w:rPr>
          <w:rFonts w:ascii="Times New Roman" w:eastAsia="MS Mincho" w:hAnsi="Times New Roman"/>
          <w:sz w:val="24"/>
          <w:szCs w:val="24"/>
          <w:vertAlign w:val="subscript"/>
          <w:lang w:val="bg-BG" w:eastAsia="ar-SA"/>
        </w:rPr>
        <w:t xml:space="preserve">L </w:t>
      </w: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&lt;/= 1,5  Вт/м</w:t>
      </w:r>
      <w:r w:rsidRPr="004A0A2C">
        <w:rPr>
          <w:rFonts w:ascii="Times New Roman" w:eastAsia="MS Mincho" w:hAnsi="Times New Roman"/>
          <w:sz w:val="24"/>
          <w:szCs w:val="24"/>
          <w:vertAlign w:val="superscript"/>
          <w:lang w:val="bg-BG" w:eastAsia="ar-SA"/>
        </w:rPr>
        <w:t>2</w:t>
      </w:r>
      <w:r w:rsidRPr="004A0A2C">
        <w:rPr>
          <w:rFonts w:ascii="Times New Roman" w:eastAsia="MS Mincho" w:hAnsi="Times New Roman"/>
          <w:sz w:val="24"/>
          <w:szCs w:val="24"/>
          <w:lang w:val="bg-BG" w:eastAsia="ar-SA"/>
        </w:rPr>
        <w:t>К )</w:t>
      </w:r>
    </w:p>
    <w:p w:rsidR="002374EC" w:rsidRPr="004A0A2C" w:rsidRDefault="00C975CD" w:rsidP="002374EC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9</w:t>
      </w:r>
      <w:r w:rsidR="002374EC"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. Технически изисквания към някои доставени на строежа продукти, потребяващи енергия (осветление и уреди).</w:t>
      </w:r>
    </w:p>
    <w:p w:rsidR="002374EC" w:rsidRPr="004A0A2C" w:rsidRDefault="00C975CD" w:rsidP="002374EC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9</w:t>
      </w:r>
      <w:r w:rsidR="002374EC"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.1.Светлинен поток за консумирана мощност на източника на светлина или светлинен добив на източника за вграждане в осветителите: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•</w:t>
      </w: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Компактни флуоресцентни осветители не по-малко от   70 lm/W;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•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>Флуоресцентни осветители не по-малко от  70 lm/W;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•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>Натриеви осветители не по-малко от  120 lm/W;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•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>Метал-халогенидни осветители: не по-малко от  60 lm/W;</w:t>
      </w:r>
    </w:p>
    <w:p w:rsidR="002374EC" w:rsidRPr="004A0A2C" w:rsidRDefault="00C975CD" w:rsidP="002374EC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9</w:t>
      </w:r>
      <w:r w:rsidR="002374EC"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.2. Светлинен добив на източника за вграждане в осветителите – за светодиодни</w:t>
      </w:r>
      <w:r w:rsidR="002374EC" w:rsidRPr="004A0A2C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-</w:t>
      </w:r>
      <w:r w:rsidR="002374EC"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 не по-малко от  60 lm/W;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Енергиен клас на осветителя – препоръчва се клас A, съгл. Регламент (ЕО) 874/2012.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Енергиен клас на баласта - съгласно Регламент (ЕО) 245/2009 и Регламент (ЕО) 347/2010.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Среден (номинален) период на работа, по време на който известен брой осветители отказват напълно: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Компактни флуоресцентни осветители: 50%  не по-малко от 20 000 часа;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Флуоресцентни осветители 50%  не по-малко от 15 000 часа;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Натриеви осветители 50%  не по-малко от 15 000 часа. </w:t>
      </w:r>
    </w:p>
    <w:p w:rsidR="002374EC" w:rsidRPr="004A0A2C" w:rsidRDefault="002374EC" w:rsidP="002374EC">
      <w:pPr>
        <w:spacing w:after="120" w:line="240" w:lineRule="auto"/>
        <w:ind w:left="369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Намаляване на светлинния поток - за светодиодни осветители: •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>не повече от 30 % за не по-малко от 50 000 часа</w:t>
      </w:r>
    </w:p>
    <w:p w:rsidR="002374EC" w:rsidRPr="004A0A2C" w:rsidRDefault="002374EC" w:rsidP="002374EC">
      <w:pPr>
        <w:spacing w:after="120" w:line="240" w:lineRule="auto"/>
        <w:ind w:left="369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Всички светлотехнически параметри на осветителя  се удостоверяват с протокол от изпитвателна лаборатория.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В случаите когато се ползва самостоятелно източник на светлина за директна замяна, неговите технически параметри се удостоверяват, като изрично се подчертава, че става въпрос за използван светлинен източник, а не за осветител. </w:t>
      </w:r>
    </w:p>
    <w:p w:rsidR="002374EC" w:rsidRPr="004A0A2C" w:rsidRDefault="00C975CD" w:rsidP="002374EC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10</w:t>
      </w:r>
      <w:r w:rsidR="002374EC"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Технически изисквания към термопомпи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>Техническите изисквани се отнасят за минимален COP (коефициент на преобразуване на енергията). Според вида на термопомпата се препоръчват да се залагат следните изисквания: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Вид на термопомпата:</w:t>
      </w:r>
      <w:r w:rsidRPr="004A0A2C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ab/>
      </w:r>
      <w:r w:rsidRPr="004A0A2C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ab/>
      </w:r>
      <w:r w:rsidRPr="004A0A2C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ab/>
        <w:t>СОР:</w:t>
      </w:r>
    </w:p>
    <w:p w:rsidR="002374EC" w:rsidRPr="004A0A2C" w:rsidRDefault="002374EC" w:rsidP="002374E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 xml:space="preserve">Солов разтвор - вода 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- 3.5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>Вода – вода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- 4.0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Въздух – въздух 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>- 3.5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Въздух - вода </w:t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- 3.5 </w:t>
      </w:r>
    </w:p>
    <w:p w:rsidR="002374EC" w:rsidRPr="004A0A2C" w:rsidRDefault="002374EC" w:rsidP="002374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sz w:val="24"/>
          <w:szCs w:val="24"/>
          <w:lang w:val="bg-BG"/>
        </w:rPr>
        <w:tab/>
        <w:t>Директен обмен земя, свързана с вода - 4.0</w:t>
      </w:r>
    </w:p>
    <w:p w:rsidR="002374EC" w:rsidRPr="004A0A2C" w:rsidRDefault="00C975CD" w:rsidP="002374EC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>11</w:t>
      </w:r>
      <w:r w:rsidR="002374EC" w:rsidRPr="004A0A2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Технически изисквания към водогрейни котли 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1"/>
        <w:gridCol w:w="1623"/>
        <w:gridCol w:w="1418"/>
        <w:gridCol w:w="1495"/>
        <w:gridCol w:w="1560"/>
        <w:gridCol w:w="2101"/>
      </w:tblGrid>
      <w:tr w:rsidR="002374EC" w:rsidRPr="004A0A2C">
        <w:trPr>
          <w:trHeight w:val="70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Вид на котела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Мощност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(kW)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КПД при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номинална мощност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КПД при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частичен товар</w:t>
            </w:r>
          </w:p>
        </w:tc>
      </w:tr>
      <w:tr w:rsidR="002374EC" w:rsidRPr="004A0A2C">
        <w:trPr>
          <w:trHeight w:val="104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средна температура на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водата (в °С)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изисквания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за КПД,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изразен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средна 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температура на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водата  (в °С)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изисквания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за КПД,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изразен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в % </w:t>
            </w:r>
          </w:p>
        </w:tc>
      </w:tr>
      <w:tr w:rsidR="002374EC" w:rsidRPr="004A0A2C">
        <w:trPr>
          <w:trHeight w:val="6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Стандартни котли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4 - 400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70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84+2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&gt;= 50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80+3 logPn</w:t>
            </w:r>
          </w:p>
        </w:tc>
      </w:tr>
      <w:tr w:rsidR="002374EC" w:rsidRPr="004A0A2C">
        <w:trPr>
          <w:trHeight w:val="8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Нискотемпера-турни котли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(1)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4 - 400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70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87,5+1,5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40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87,5+1,5 logPn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Газо- кондензиращи котли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4 - 400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70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91+1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30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&gt;= 97+1 logPn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Подобрени кондензацион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ни котли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4-400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94,0 +1,0 * logPn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Година на производство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Котли на биомаса с естествена тяга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преди 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78,0 +2,0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72,0 +3,0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1978-1994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80,0 +2,0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75,0 +3,0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след 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81,0 +2,0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77,0 +3,0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Котли на биомаса с изкуствена тяга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преди 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80,0 +2,0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75,0 +3,0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1978-1986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82,0 +2,0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77,5 +3,0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1986-1994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84,0 +2,0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80,0 +3,0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Произведени след 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85,0 +2,0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81,5 +3,0 * log(Ф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bg-BG" w:eastAsia="bg-BG"/>
              </w:rPr>
              <w:t>Pn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/1000)</w:t>
            </w:r>
          </w:p>
        </w:tc>
      </w:tr>
      <w:tr w:rsidR="002374EC" w:rsidRPr="004A0A2C">
        <w:trPr>
          <w:trHeight w:val="848"/>
          <w:jc w:val="center"/>
        </w:trPr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(1)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Включително кондензиращи котли, използващи течни горива.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4" w:right="144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>(2)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Температура на захранващата вода в котела.</w:t>
            </w:r>
          </w:p>
          <w:p w:rsidR="002374EC" w:rsidRPr="004A0A2C" w:rsidRDefault="002374EC" w:rsidP="002374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4" w:right="144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4A0A2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bg-BG" w:eastAsia="bg-BG"/>
              </w:rPr>
              <w:t xml:space="preserve">(3)  </w:t>
            </w:r>
            <w:r w:rsidRPr="004A0A2C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Топлинна мощност на котела при номинално налягане</w:t>
            </w:r>
          </w:p>
        </w:tc>
      </w:tr>
    </w:tbl>
    <w:p w:rsidR="002374EC" w:rsidRPr="004A0A2C" w:rsidRDefault="002374EC" w:rsidP="002374E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374EC" w:rsidRPr="004A0A2C" w:rsidRDefault="002374EC" w:rsidP="002374EC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A2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Забележка: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се има предвид, че екипите</w:t>
      </w:r>
      <w:r w:rsidR="00A45D5F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обследване за техническите характеристики и изготвяне на технически паспорт на сградата; за извършване на обследване за енергийна ефективност, и за проектиране трябва  да работят съгласувано за постигане на техническите изисквания към сградата. Този процес включва и изготвяне на коректни количествено-стойностни сметки (КСС) от проектантите, изготвяне на икономическата оценка в доклада от енергийното обследване на база КСС с оглед гарантиране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ефективността на разходите за енергийно о</w:t>
      </w:r>
      <w:r w:rsidR="00A45D5F"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бновяване. Този подход </w:t>
      </w:r>
      <w:r w:rsidRPr="004A0A2C">
        <w:rPr>
          <w:rFonts w:ascii="Times New Roman" w:eastAsia="Times New Roman" w:hAnsi="Times New Roman"/>
          <w:sz w:val="24"/>
          <w:szCs w:val="24"/>
          <w:lang w:val="bg-BG" w:eastAsia="bg-BG"/>
        </w:rPr>
        <w:t>изисква итеративни действия между екипите и детайлно съгласуване на всеки етап от инженерните процедури.</w:t>
      </w:r>
    </w:p>
    <w:p w:rsidR="002374EC" w:rsidRPr="004A0A2C" w:rsidRDefault="002374EC" w:rsidP="00CC5B88">
      <w:pPr>
        <w:snapToGrid w:val="0"/>
        <w:spacing w:after="120" w:line="240" w:lineRule="auto"/>
        <w:jc w:val="both"/>
        <w:rPr>
          <w:rFonts w:ascii="Times New Roman" w:hAnsi="Times New Roman"/>
          <w:lang w:val="bg-BG"/>
        </w:rPr>
      </w:pPr>
    </w:p>
    <w:sectPr w:rsidR="002374EC" w:rsidRPr="004A0A2C" w:rsidSect="00C975CD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D8"/>
    <w:multiLevelType w:val="multilevel"/>
    <w:tmpl w:val="FB184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74BF8"/>
    <w:multiLevelType w:val="multilevel"/>
    <w:tmpl w:val="492ED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732D8"/>
    <w:multiLevelType w:val="hybridMultilevel"/>
    <w:tmpl w:val="9F1A3610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C3063"/>
    <w:multiLevelType w:val="hybridMultilevel"/>
    <w:tmpl w:val="84485CA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C1390E"/>
    <w:multiLevelType w:val="multilevel"/>
    <w:tmpl w:val="54ACC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D463EC"/>
    <w:multiLevelType w:val="multilevel"/>
    <w:tmpl w:val="2B82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EB"/>
    <w:rsid w:val="00015B13"/>
    <w:rsid w:val="000245BE"/>
    <w:rsid w:val="00060AD5"/>
    <w:rsid w:val="000A6518"/>
    <w:rsid w:val="00166309"/>
    <w:rsid w:val="001B3AF6"/>
    <w:rsid w:val="00223593"/>
    <w:rsid w:val="002374EC"/>
    <w:rsid w:val="002438FC"/>
    <w:rsid w:val="002932EE"/>
    <w:rsid w:val="002A61E8"/>
    <w:rsid w:val="00334189"/>
    <w:rsid w:val="00356188"/>
    <w:rsid w:val="004A0A2C"/>
    <w:rsid w:val="004D40A5"/>
    <w:rsid w:val="0053503E"/>
    <w:rsid w:val="005C3155"/>
    <w:rsid w:val="00826B54"/>
    <w:rsid w:val="00A45D5F"/>
    <w:rsid w:val="00A57D5F"/>
    <w:rsid w:val="00B4162D"/>
    <w:rsid w:val="00B67455"/>
    <w:rsid w:val="00BE0E90"/>
    <w:rsid w:val="00C53194"/>
    <w:rsid w:val="00C975CD"/>
    <w:rsid w:val="00CB53E1"/>
    <w:rsid w:val="00CC5B88"/>
    <w:rsid w:val="00D868E6"/>
    <w:rsid w:val="00E00492"/>
    <w:rsid w:val="00E766F7"/>
    <w:rsid w:val="00F42824"/>
    <w:rsid w:val="00F53807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8E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FA78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Char Char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лавие 3 Знак"/>
    <w:link w:val="3"/>
    <w:rsid w:val="00FA78EB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1">
    <w:name w:val=" Знак Знак1"/>
    <w:basedOn w:val="a"/>
    <w:link w:val="a0"/>
    <w:rsid w:val="002A61E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a"/>
    <w:rsid w:val="002A61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Calibri"/>
      <w:b/>
      <w:bCs/>
      <w:sz w:val="24"/>
      <w:szCs w:val="24"/>
    </w:rPr>
  </w:style>
  <w:style w:type="character" w:customStyle="1" w:styleId="2">
    <w:name w:val="Основен текст (2)_"/>
    <w:link w:val="20"/>
    <w:rsid w:val="00223593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223593"/>
    <w:rPr>
      <w:i/>
      <w:iCs/>
      <w:sz w:val="22"/>
      <w:szCs w:val="22"/>
      <w:lang w:bidi="ar-SA"/>
    </w:rPr>
  </w:style>
  <w:style w:type="paragraph" w:customStyle="1" w:styleId="20">
    <w:name w:val="Основен текст (2)"/>
    <w:basedOn w:val="a"/>
    <w:link w:val="2"/>
    <w:rsid w:val="00223593"/>
    <w:pPr>
      <w:widowControl w:val="0"/>
      <w:shd w:val="clear" w:color="auto" w:fill="FFFFFF"/>
      <w:spacing w:after="60" w:line="0" w:lineRule="atLeast"/>
      <w:ind w:hanging="480"/>
      <w:jc w:val="both"/>
    </w:pPr>
    <w:rPr>
      <w:rFonts w:ascii="Times New Roman" w:eastAsia="Times New Roman" w:hAnsi="Times New Roman"/>
      <w:lang w:val="bg-BG" w:eastAsia="bg-BG"/>
    </w:rPr>
  </w:style>
  <w:style w:type="paragraph" w:customStyle="1" w:styleId="60">
    <w:name w:val="Основен текст (6)"/>
    <w:basedOn w:val="a"/>
    <w:link w:val="6"/>
    <w:rsid w:val="00223593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/>
      <w:i/>
      <w:iCs/>
      <w:lang w:val="bg-BG" w:eastAsia="bg-BG"/>
    </w:rPr>
  </w:style>
  <w:style w:type="paragraph" w:customStyle="1" w:styleId="ListParagraph">
    <w:name w:val="List Paragraph"/>
    <w:basedOn w:val="a"/>
    <w:qFormat/>
    <w:rsid w:val="002374E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Balloon Text"/>
    <w:basedOn w:val="a"/>
    <w:link w:val="a4"/>
    <w:rsid w:val="00B4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B4162D"/>
    <w:rPr>
      <w:rFonts w:ascii="Tahoma" w:eastAsia="Calibri" w:hAnsi="Tahoma" w:cs="Tahoma"/>
      <w:sz w:val="16"/>
      <w:szCs w:val="16"/>
      <w:lang w:val="en-US" w:eastAsia="en-US"/>
    </w:rPr>
  </w:style>
  <w:style w:type="character" w:styleId="a5">
    <w:name w:val="Emphasis"/>
    <w:qFormat/>
    <w:rsid w:val="00D868E6"/>
    <w:rPr>
      <w:i/>
      <w:iCs/>
    </w:rPr>
  </w:style>
  <w:style w:type="paragraph" w:customStyle="1" w:styleId="CharChar2">
    <w:name w:val=" Char Char2 Знак Знак"/>
    <w:basedOn w:val="a"/>
    <w:rsid w:val="004A0A2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8E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FA78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Char Char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лавие 3 Знак"/>
    <w:link w:val="3"/>
    <w:rsid w:val="00FA78EB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1">
    <w:name w:val=" Знак Знак1"/>
    <w:basedOn w:val="a"/>
    <w:link w:val="a0"/>
    <w:rsid w:val="002A61E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a"/>
    <w:rsid w:val="002A61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Calibri"/>
      <w:b/>
      <w:bCs/>
      <w:sz w:val="24"/>
      <w:szCs w:val="24"/>
    </w:rPr>
  </w:style>
  <w:style w:type="character" w:customStyle="1" w:styleId="2">
    <w:name w:val="Основен текст (2)_"/>
    <w:link w:val="20"/>
    <w:rsid w:val="00223593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223593"/>
    <w:rPr>
      <w:i/>
      <w:iCs/>
      <w:sz w:val="22"/>
      <w:szCs w:val="22"/>
      <w:lang w:bidi="ar-SA"/>
    </w:rPr>
  </w:style>
  <w:style w:type="paragraph" w:customStyle="1" w:styleId="20">
    <w:name w:val="Основен текст (2)"/>
    <w:basedOn w:val="a"/>
    <w:link w:val="2"/>
    <w:rsid w:val="00223593"/>
    <w:pPr>
      <w:widowControl w:val="0"/>
      <w:shd w:val="clear" w:color="auto" w:fill="FFFFFF"/>
      <w:spacing w:after="60" w:line="0" w:lineRule="atLeast"/>
      <w:ind w:hanging="480"/>
      <w:jc w:val="both"/>
    </w:pPr>
    <w:rPr>
      <w:rFonts w:ascii="Times New Roman" w:eastAsia="Times New Roman" w:hAnsi="Times New Roman"/>
      <w:lang w:val="bg-BG" w:eastAsia="bg-BG"/>
    </w:rPr>
  </w:style>
  <w:style w:type="paragraph" w:customStyle="1" w:styleId="60">
    <w:name w:val="Основен текст (6)"/>
    <w:basedOn w:val="a"/>
    <w:link w:val="6"/>
    <w:rsid w:val="00223593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/>
      <w:i/>
      <w:iCs/>
      <w:lang w:val="bg-BG" w:eastAsia="bg-BG"/>
    </w:rPr>
  </w:style>
  <w:style w:type="paragraph" w:customStyle="1" w:styleId="ListParagraph">
    <w:name w:val="List Paragraph"/>
    <w:basedOn w:val="a"/>
    <w:qFormat/>
    <w:rsid w:val="002374E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Balloon Text"/>
    <w:basedOn w:val="a"/>
    <w:link w:val="a4"/>
    <w:rsid w:val="00B4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B4162D"/>
    <w:rPr>
      <w:rFonts w:ascii="Tahoma" w:eastAsia="Calibri" w:hAnsi="Tahoma" w:cs="Tahoma"/>
      <w:sz w:val="16"/>
      <w:szCs w:val="16"/>
      <w:lang w:val="en-US" w:eastAsia="en-US"/>
    </w:rPr>
  </w:style>
  <w:style w:type="character" w:styleId="a5">
    <w:name w:val="Emphasis"/>
    <w:qFormat/>
    <w:rsid w:val="00D868E6"/>
    <w:rPr>
      <w:i/>
      <w:iCs/>
    </w:rPr>
  </w:style>
  <w:style w:type="paragraph" w:customStyle="1" w:styleId="CharChar2">
    <w:name w:val=" Char Char2 Знак Знак"/>
    <w:basedOn w:val="a"/>
    <w:rsid w:val="004A0A2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5465</Words>
  <Characters>31156</Characters>
  <Application>Microsoft Office Word</Application>
  <DocSecurity>0</DocSecurity>
  <Lines>259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User</cp:lastModifiedBy>
  <cp:revision>2</cp:revision>
  <cp:lastPrinted>2015-02-27T07:46:00Z</cp:lastPrinted>
  <dcterms:created xsi:type="dcterms:W3CDTF">2015-04-09T12:22:00Z</dcterms:created>
  <dcterms:modified xsi:type="dcterms:W3CDTF">2015-04-09T12:22:00Z</dcterms:modified>
</cp:coreProperties>
</file>